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b/>
          <w:sz w:val="44"/>
          <w:szCs w:val="44"/>
        </w:rPr>
      </w:pPr>
      <w:r>
        <w:rPr>
          <w:rFonts w:hint="eastAsia" w:ascii="华文中宋" w:hAnsi="华文中宋" w:eastAsia="华文中宋"/>
          <w:b/>
          <w:sz w:val="44"/>
          <w:szCs w:val="44"/>
        </w:rPr>
        <w:t>2015年安吉县创业型村（社区）建设</w:t>
      </w:r>
      <w:r>
        <w:rPr>
          <w:rFonts w:ascii="华文中宋" w:hAnsi="华文中宋" w:eastAsia="华文中宋"/>
          <w:b/>
          <w:sz w:val="44"/>
          <w:szCs w:val="44"/>
        </w:rPr>
        <w:t>情况</w:t>
      </w:r>
      <w:r>
        <w:rPr>
          <w:rFonts w:hint="eastAsia" w:ascii="华文中宋" w:hAnsi="华文中宋" w:eastAsia="华文中宋"/>
          <w:b/>
          <w:sz w:val="44"/>
          <w:szCs w:val="44"/>
        </w:rPr>
        <w:t>评分</w:t>
      </w:r>
      <w:r>
        <w:rPr>
          <w:rFonts w:ascii="华文中宋" w:hAnsi="华文中宋" w:eastAsia="华文中宋"/>
          <w:b/>
          <w:sz w:val="44"/>
          <w:szCs w:val="44"/>
        </w:rPr>
        <w:t>表</w:t>
      </w:r>
    </w:p>
    <w:tbl>
      <w:tblPr>
        <w:tblStyle w:val="6"/>
        <w:tblW w:w="13722"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163"/>
        <w:gridCol w:w="2679"/>
        <w:gridCol w:w="629"/>
        <w:gridCol w:w="4119"/>
        <w:gridCol w:w="3396"/>
        <w:gridCol w:w="838"/>
        <w:gridCol w:w="8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163" w:type="dxa"/>
            <w:vAlign w:val="center"/>
          </w:tcPr>
          <w:p>
            <w:pPr>
              <w:widowControl/>
              <w:spacing w:line="320" w:lineRule="exact"/>
              <w:jc w:val="center"/>
              <w:rPr>
                <w:rFonts w:hint="eastAsia" w:ascii="宋体" w:hAnsi="宋体"/>
                <w:b/>
                <w:color w:val="000000"/>
                <w:kern w:val="0"/>
                <w:szCs w:val="21"/>
              </w:rPr>
            </w:pPr>
            <w:r>
              <w:rPr>
                <w:rFonts w:hint="eastAsia" w:ascii="宋体" w:hAnsi="宋体"/>
                <w:b/>
                <w:color w:val="000000"/>
                <w:kern w:val="0"/>
                <w:szCs w:val="21"/>
              </w:rPr>
              <w:t>考评内容</w:t>
            </w:r>
          </w:p>
        </w:tc>
        <w:tc>
          <w:tcPr>
            <w:tcW w:w="2679" w:type="dxa"/>
            <w:vAlign w:val="center"/>
          </w:tcPr>
          <w:p>
            <w:pPr>
              <w:widowControl/>
              <w:spacing w:line="320" w:lineRule="exact"/>
              <w:jc w:val="center"/>
              <w:rPr>
                <w:rFonts w:hint="eastAsia" w:ascii="宋体" w:hAnsi="宋体"/>
                <w:b/>
                <w:color w:val="000000"/>
                <w:kern w:val="0"/>
                <w:szCs w:val="21"/>
              </w:rPr>
            </w:pPr>
            <w:r>
              <w:rPr>
                <w:rFonts w:hint="eastAsia" w:ascii="宋体" w:hAnsi="宋体"/>
                <w:b/>
                <w:color w:val="000000"/>
                <w:kern w:val="0"/>
                <w:szCs w:val="21"/>
              </w:rPr>
              <w:t>具体工作</w:t>
            </w:r>
          </w:p>
        </w:tc>
        <w:tc>
          <w:tcPr>
            <w:tcW w:w="629" w:type="dxa"/>
            <w:vAlign w:val="center"/>
          </w:tcPr>
          <w:p>
            <w:pPr>
              <w:widowControl/>
              <w:spacing w:line="320" w:lineRule="exact"/>
              <w:jc w:val="center"/>
              <w:rPr>
                <w:rFonts w:ascii="宋体" w:hAnsi="宋体"/>
                <w:b/>
                <w:color w:val="000000"/>
                <w:kern w:val="0"/>
                <w:szCs w:val="21"/>
              </w:rPr>
            </w:pPr>
            <w:r>
              <w:rPr>
                <w:rFonts w:ascii="宋体" w:hAnsi="宋体"/>
                <w:b/>
                <w:color w:val="000000"/>
                <w:kern w:val="0"/>
                <w:szCs w:val="21"/>
              </w:rPr>
              <w:t>分值</w:t>
            </w:r>
          </w:p>
        </w:tc>
        <w:tc>
          <w:tcPr>
            <w:tcW w:w="4119" w:type="dxa"/>
            <w:vAlign w:val="center"/>
          </w:tcPr>
          <w:p>
            <w:pPr>
              <w:widowControl/>
              <w:spacing w:line="320" w:lineRule="exact"/>
              <w:jc w:val="center"/>
              <w:rPr>
                <w:rFonts w:hint="eastAsia" w:ascii="宋体" w:hAnsi="宋体"/>
                <w:b/>
                <w:color w:val="000000"/>
                <w:kern w:val="0"/>
                <w:szCs w:val="21"/>
              </w:rPr>
            </w:pPr>
            <w:r>
              <w:rPr>
                <w:rFonts w:hint="eastAsia" w:ascii="宋体" w:hAnsi="宋体"/>
                <w:b/>
                <w:color w:val="000000"/>
                <w:kern w:val="0"/>
                <w:szCs w:val="21"/>
              </w:rPr>
              <w:t>评分标准</w:t>
            </w:r>
          </w:p>
        </w:tc>
        <w:tc>
          <w:tcPr>
            <w:tcW w:w="3396" w:type="dxa"/>
            <w:vAlign w:val="center"/>
          </w:tcPr>
          <w:p>
            <w:pPr>
              <w:widowControl/>
              <w:spacing w:line="320" w:lineRule="exact"/>
              <w:jc w:val="center"/>
              <w:rPr>
                <w:rFonts w:hint="eastAsia" w:ascii="宋体" w:hAnsi="宋体"/>
                <w:b/>
                <w:color w:val="000000"/>
                <w:kern w:val="0"/>
                <w:szCs w:val="21"/>
              </w:rPr>
            </w:pPr>
            <w:r>
              <w:rPr>
                <w:rFonts w:hint="eastAsia" w:ascii="宋体" w:hAnsi="宋体"/>
                <w:b/>
                <w:color w:val="000000"/>
                <w:kern w:val="0"/>
                <w:szCs w:val="21"/>
              </w:rPr>
              <w:t>提供资料</w:t>
            </w:r>
          </w:p>
        </w:tc>
        <w:tc>
          <w:tcPr>
            <w:tcW w:w="838" w:type="dxa"/>
            <w:vAlign w:val="center"/>
          </w:tcPr>
          <w:p>
            <w:pPr>
              <w:widowControl/>
              <w:spacing w:line="320" w:lineRule="exact"/>
              <w:jc w:val="center"/>
              <w:rPr>
                <w:rFonts w:hint="eastAsia" w:ascii="宋体" w:hAnsi="宋体"/>
                <w:b/>
                <w:color w:val="000000"/>
                <w:kern w:val="0"/>
                <w:szCs w:val="21"/>
              </w:rPr>
            </w:pPr>
            <w:r>
              <w:rPr>
                <w:rFonts w:hint="eastAsia" w:ascii="宋体" w:hAnsi="宋体"/>
                <w:b/>
                <w:color w:val="000000"/>
                <w:kern w:val="0"/>
                <w:szCs w:val="21"/>
              </w:rPr>
              <w:t>自评分</w:t>
            </w:r>
          </w:p>
        </w:tc>
        <w:tc>
          <w:tcPr>
            <w:tcW w:w="898" w:type="dxa"/>
            <w:vAlign w:val="center"/>
          </w:tcPr>
          <w:p>
            <w:pPr>
              <w:widowControl/>
              <w:spacing w:line="320" w:lineRule="exact"/>
              <w:jc w:val="center"/>
              <w:rPr>
                <w:rFonts w:hint="eastAsia" w:ascii="宋体" w:hAnsi="宋体"/>
                <w:b/>
                <w:color w:val="000000"/>
                <w:kern w:val="0"/>
                <w:szCs w:val="21"/>
              </w:rPr>
            </w:pPr>
            <w:r>
              <w:rPr>
                <w:rFonts w:hint="eastAsia" w:ascii="宋体" w:hAnsi="宋体"/>
                <w:b/>
                <w:color w:val="000000"/>
                <w:kern w:val="0"/>
                <w:szCs w:val="21"/>
              </w:rPr>
              <w:t>考核分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624" w:hRule="atLeast"/>
          <w:jc w:val="center"/>
        </w:trPr>
        <w:tc>
          <w:tcPr>
            <w:tcW w:w="1163" w:type="dxa"/>
            <w:vMerge w:val="restart"/>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组织工作</w:t>
            </w:r>
          </w:p>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（10分）</w:t>
            </w:r>
          </w:p>
        </w:tc>
        <w:tc>
          <w:tcPr>
            <w:tcW w:w="2679" w:type="dxa"/>
            <w:vAlign w:val="center"/>
          </w:tcPr>
          <w:p>
            <w:pPr>
              <w:widowControl/>
              <w:spacing w:line="300" w:lineRule="exact"/>
              <w:rPr>
                <w:rFonts w:ascii="宋体" w:hAnsi="宋体"/>
                <w:color w:val="000000"/>
                <w:kern w:val="0"/>
                <w:szCs w:val="21"/>
              </w:rPr>
            </w:pPr>
            <w:r>
              <w:rPr>
                <w:rFonts w:hint="eastAsia" w:ascii="宋体" w:hAnsi="宋体"/>
                <w:color w:val="000000"/>
                <w:kern w:val="0"/>
                <w:szCs w:val="21"/>
              </w:rPr>
              <w:t>1、工作重视程度</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vAlign w:val="center"/>
          </w:tcPr>
          <w:p>
            <w:pPr>
              <w:widowControl/>
              <w:spacing w:line="300" w:lineRule="exact"/>
              <w:rPr>
                <w:rFonts w:ascii="宋体" w:hAnsi="宋体"/>
                <w:color w:val="000000"/>
                <w:kern w:val="0"/>
                <w:szCs w:val="21"/>
              </w:rPr>
            </w:pPr>
            <w:r>
              <w:rPr>
                <w:rFonts w:hint="eastAsia" w:ascii="宋体" w:hAnsi="宋体"/>
                <w:color w:val="000000"/>
                <w:kern w:val="0"/>
                <w:szCs w:val="21"/>
              </w:rPr>
              <w:t>.成立建设领导小组，专题布置建设工作得5分；不建立工作机制不得分</w:t>
            </w:r>
          </w:p>
        </w:tc>
        <w:tc>
          <w:tcPr>
            <w:tcW w:w="3396" w:type="dxa"/>
            <w:vAlign w:val="center"/>
          </w:tcPr>
          <w:p>
            <w:pPr>
              <w:widowControl/>
              <w:spacing w:line="300" w:lineRule="exact"/>
              <w:rPr>
                <w:rFonts w:hint="eastAsia" w:ascii="宋体" w:hAnsi="宋体"/>
                <w:color w:val="000000"/>
                <w:kern w:val="0"/>
                <w:szCs w:val="21"/>
              </w:rPr>
            </w:pPr>
            <w:r>
              <w:rPr>
                <w:rFonts w:ascii="宋体" w:hAnsi="宋体"/>
                <w:color w:val="000000"/>
                <w:kern w:val="0"/>
                <w:szCs w:val="21"/>
              </w:rPr>
              <w:t>　</w:t>
            </w:r>
            <w:r>
              <w:rPr>
                <w:rFonts w:hint="eastAsia" w:ascii="宋体" w:hAnsi="宋体"/>
                <w:color w:val="000000"/>
                <w:kern w:val="0"/>
                <w:szCs w:val="21"/>
              </w:rPr>
              <w:t>提供领导小组文件或会议记录，分工情况</w:t>
            </w:r>
          </w:p>
        </w:tc>
        <w:tc>
          <w:tcPr>
            <w:tcW w:w="838" w:type="dxa"/>
            <w:vAlign w:val="center"/>
          </w:tcPr>
          <w:p>
            <w:pPr>
              <w:widowControl/>
              <w:spacing w:line="300" w:lineRule="exact"/>
              <w:rPr>
                <w:rFonts w:hint="eastAsia" w:ascii="宋体" w:hAnsi="宋体"/>
                <w:color w:val="000000"/>
                <w:kern w:val="0"/>
                <w:szCs w:val="21"/>
              </w:rPr>
            </w:pPr>
          </w:p>
        </w:tc>
        <w:tc>
          <w:tcPr>
            <w:tcW w:w="898" w:type="dxa"/>
            <w:vAlign w:val="center"/>
          </w:tcPr>
          <w:p>
            <w:pPr>
              <w:widowControl/>
              <w:spacing w:line="300" w:lineRule="exact"/>
              <w:rPr>
                <w:rFonts w:hint="eastAsia"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877" w:hRule="atLeast"/>
          <w:jc w:val="center"/>
        </w:trPr>
        <w:tc>
          <w:tcPr>
            <w:tcW w:w="1163" w:type="dxa"/>
            <w:vMerge w:val="continue"/>
            <w:vAlign w:val="center"/>
          </w:tcPr>
          <w:p>
            <w:pPr>
              <w:widowControl/>
              <w:spacing w:line="300" w:lineRule="exact"/>
              <w:jc w:val="center"/>
              <w:rPr>
                <w:rFonts w:hint="eastAsia" w:ascii="宋体" w:hAnsi="宋体"/>
                <w:color w:val="000000"/>
                <w:kern w:val="0"/>
                <w:szCs w:val="21"/>
              </w:rPr>
            </w:pP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2、制订工作方案和计划</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制订</w:t>
            </w:r>
            <w:r>
              <w:rPr>
                <w:rFonts w:ascii="宋体" w:hAnsi="宋体"/>
                <w:color w:val="000000"/>
                <w:kern w:val="0"/>
                <w:szCs w:val="21"/>
              </w:rPr>
              <w:t>制订</w:t>
            </w:r>
            <w:r>
              <w:rPr>
                <w:rFonts w:hint="eastAsia" w:ascii="宋体" w:hAnsi="宋体"/>
                <w:color w:val="000000"/>
                <w:kern w:val="0"/>
                <w:szCs w:val="21"/>
              </w:rPr>
              <w:t>目标清晰、分工明确，操作性强的</w:t>
            </w:r>
            <w:r>
              <w:rPr>
                <w:rFonts w:ascii="宋体" w:hAnsi="宋体"/>
                <w:color w:val="000000"/>
                <w:kern w:val="0"/>
                <w:szCs w:val="21"/>
              </w:rPr>
              <w:t>建设工作方案</w:t>
            </w:r>
            <w:r>
              <w:rPr>
                <w:rFonts w:hint="eastAsia" w:ascii="宋体" w:hAnsi="宋体"/>
                <w:color w:val="000000"/>
                <w:kern w:val="0"/>
                <w:szCs w:val="21"/>
              </w:rPr>
              <w:t>和工作计划得5分，一般方案得2分，无方案不得分</w:t>
            </w:r>
          </w:p>
        </w:tc>
        <w:tc>
          <w:tcPr>
            <w:tcW w:w="3396"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提供工作方案和工作计划</w:t>
            </w:r>
          </w:p>
        </w:tc>
        <w:tc>
          <w:tcPr>
            <w:tcW w:w="838" w:type="dxa"/>
            <w:vAlign w:val="center"/>
          </w:tcPr>
          <w:p>
            <w:pPr>
              <w:widowControl/>
              <w:spacing w:line="300" w:lineRule="exact"/>
              <w:rPr>
                <w:rFonts w:hint="eastAsia" w:ascii="宋体" w:hAnsi="宋体"/>
                <w:color w:val="000000"/>
                <w:kern w:val="0"/>
                <w:szCs w:val="21"/>
              </w:rPr>
            </w:pPr>
          </w:p>
        </w:tc>
        <w:tc>
          <w:tcPr>
            <w:tcW w:w="898" w:type="dxa"/>
            <w:vAlign w:val="center"/>
          </w:tcPr>
          <w:p>
            <w:pPr>
              <w:widowControl/>
              <w:spacing w:line="300" w:lineRule="exact"/>
              <w:rPr>
                <w:rFonts w:hint="eastAsia"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685" w:hRule="atLeast"/>
          <w:jc w:val="center"/>
        </w:trPr>
        <w:tc>
          <w:tcPr>
            <w:tcW w:w="1163" w:type="dxa"/>
            <w:vMerge w:val="restart"/>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网络基础</w:t>
            </w:r>
          </w:p>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（15分）</w:t>
            </w: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3、人力资源信息系统维护</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10</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信息数据维护率98%及以上得1分，95—98%得5分，95%以下不得分</w:t>
            </w:r>
          </w:p>
        </w:tc>
        <w:tc>
          <w:tcPr>
            <w:tcW w:w="3396"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后台信息数据</w:t>
            </w:r>
          </w:p>
        </w:tc>
        <w:tc>
          <w:tcPr>
            <w:tcW w:w="838" w:type="dxa"/>
            <w:vAlign w:val="center"/>
          </w:tcPr>
          <w:p>
            <w:pPr>
              <w:widowControl/>
              <w:spacing w:line="300" w:lineRule="exact"/>
              <w:rPr>
                <w:rFonts w:hint="eastAsia" w:ascii="宋体" w:hAnsi="宋体"/>
                <w:color w:val="000000"/>
                <w:kern w:val="0"/>
                <w:szCs w:val="21"/>
              </w:rPr>
            </w:pPr>
          </w:p>
        </w:tc>
        <w:tc>
          <w:tcPr>
            <w:tcW w:w="898" w:type="dxa"/>
            <w:vAlign w:val="center"/>
          </w:tcPr>
          <w:p>
            <w:pPr>
              <w:widowControl/>
              <w:spacing w:line="300" w:lineRule="exact"/>
              <w:rPr>
                <w:rFonts w:hint="eastAsia"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03" w:hRule="atLeast"/>
          <w:jc w:val="center"/>
        </w:trPr>
        <w:tc>
          <w:tcPr>
            <w:tcW w:w="1163" w:type="dxa"/>
            <w:vMerge w:val="continue"/>
            <w:vAlign w:val="center"/>
          </w:tcPr>
          <w:p>
            <w:pPr>
              <w:widowControl/>
              <w:spacing w:line="300" w:lineRule="exact"/>
              <w:jc w:val="center"/>
              <w:rPr>
                <w:rFonts w:ascii="宋体" w:hAnsi="宋体"/>
                <w:color w:val="000000"/>
                <w:kern w:val="0"/>
                <w:szCs w:val="21"/>
              </w:rPr>
            </w:pP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4、创业人员动态管理</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建立创业人员信息库得2分，不建不得分；全面实施动态管理得3分，部分信息完善得1分，不维护不得分</w:t>
            </w:r>
          </w:p>
        </w:tc>
        <w:tc>
          <w:tcPr>
            <w:tcW w:w="3396"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基础台帐和后台信息数据</w:t>
            </w:r>
          </w:p>
        </w:tc>
        <w:tc>
          <w:tcPr>
            <w:tcW w:w="838" w:type="dxa"/>
            <w:vAlign w:val="center"/>
          </w:tcPr>
          <w:p>
            <w:pPr>
              <w:widowControl/>
              <w:spacing w:line="300" w:lineRule="exact"/>
              <w:jc w:val="center"/>
              <w:rPr>
                <w:rFonts w:hint="eastAsia" w:ascii="宋体" w:hAnsi="宋体"/>
                <w:color w:val="000000"/>
                <w:kern w:val="0"/>
                <w:szCs w:val="21"/>
              </w:rPr>
            </w:pPr>
          </w:p>
        </w:tc>
        <w:tc>
          <w:tcPr>
            <w:tcW w:w="898" w:type="dxa"/>
            <w:vAlign w:val="center"/>
          </w:tcPr>
          <w:p>
            <w:pPr>
              <w:widowControl/>
              <w:spacing w:line="300" w:lineRule="exact"/>
              <w:jc w:val="center"/>
              <w:rPr>
                <w:rFonts w:hint="eastAsia"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496" w:hRule="atLeast"/>
          <w:jc w:val="center"/>
        </w:trPr>
        <w:tc>
          <w:tcPr>
            <w:tcW w:w="1163" w:type="dxa"/>
            <w:vMerge w:val="restart"/>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培训工作</w:t>
            </w:r>
          </w:p>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（15分）</w:t>
            </w: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5、开展创业培训需求调查</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开展书面培训需求调查得5分，口头调查得2分，不开展不得分</w:t>
            </w:r>
          </w:p>
        </w:tc>
        <w:tc>
          <w:tcPr>
            <w:tcW w:w="3396"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培训需求调查表基础资料</w:t>
            </w:r>
          </w:p>
        </w:tc>
        <w:tc>
          <w:tcPr>
            <w:tcW w:w="838" w:type="dxa"/>
            <w:vAlign w:val="center"/>
          </w:tcPr>
          <w:p>
            <w:pPr>
              <w:widowControl/>
              <w:spacing w:line="300" w:lineRule="exact"/>
              <w:jc w:val="center"/>
              <w:rPr>
                <w:rFonts w:ascii="宋体" w:hAnsi="宋体"/>
                <w:color w:val="000000"/>
                <w:kern w:val="0"/>
                <w:szCs w:val="21"/>
              </w:rPr>
            </w:pPr>
          </w:p>
        </w:tc>
        <w:tc>
          <w:tcPr>
            <w:tcW w:w="898" w:type="dxa"/>
            <w:vAlign w:val="center"/>
          </w:tcPr>
          <w:p>
            <w:pPr>
              <w:widowControl/>
              <w:spacing w:line="300" w:lineRule="exact"/>
              <w:jc w:val="center"/>
              <w:rPr>
                <w:rFonts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783" w:hRule="atLeast"/>
          <w:jc w:val="center"/>
        </w:trPr>
        <w:tc>
          <w:tcPr>
            <w:tcW w:w="1163" w:type="dxa"/>
            <w:vMerge w:val="continue"/>
            <w:vAlign w:val="center"/>
          </w:tcPr>
          <w:p>
            <w:pPr>
              <w:widowControl/>
              <w:spacing w:line="300" w:lineRule="exact"/>
              <w:jc w:val="center"/>
              <w:rPr>
                <w:rFonts w:ascii="宋体" w:hAnsi="宋体"/>
                <w:color w:val="000000"/>
                <w:kern w:val="0"/>
                <w:szCs w:val="21"/>
              </w:rPr>
            </w:pP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6、组织实施各类创业培训，并做好后续跟踪服务</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10</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自己组织培训得8分，组织人员参加培训机构培训得5分，培训后续有跟踪得2分，不跟踪不得分</w:t>
            </w:r>
          </w:p>
        </w:tc>
        <w:tc>
          <w:tcPr>
            <w:tcW w:w="3396"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培训实施记录、有关资料图片，培训人员名单，后续服务台帐</w:t>
            </w:r>
          </w:p>
        </w:tc>
        <w:tc>
          <w:tcPr>
            <w:tcW w:w="838" w:type="dxa"/>
            <w:vAlign w:val="center"/>
          </w:tcPr>
          <w:p>
            <w:pPr>
              <w:widowControl/>
              <w:spacing w:line="300" w:lineRule="exact"/>
              <w:jc w:val="center"/>
              <w:rPr>
                <w:rFonts w:ascii="宋体" w:hAnsi="宋体"/>
                <w:color w:val="000000"/>
                <w:kern w:val="0"/>
                <w:szCs w:val="21"/>
              </w:rPr>
            </w:pPr>
          </w:p>
        </w:tc>
        <w:tc>
          <w:tcPr>
            <w:tcW w:w="898" w:type="dxa"/>
            <w:vAlign w:val="center"/>
          </w:tcPr>
          <w:p>
            <w:pPr>
              <w:widowControl/>
              <w:spacing w:line="300" w:lineRule="exact"/>
              <w:jc w:val="center"/>
              <w:rPr>
                <w:rFonts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81" w:hRule="atLeast"/>
          <w:jc w:val="center"/>
        </w:trPr>
        <w:tc>
          <w:tcPr>
            <w:tcW w:w="1163" w:type="dxa"/>
            <w:vMerge w:val="restart"/>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政策落实</w:t>
            </w:r>
          </w:p>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（15）分</w:t>
            </w: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7、辖区内群众政策知晓率高</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3</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开展各种形式政策推介活动，群众政策知晓率高得5分，知晓率一般酌情扣分</w:t>
            </w:r>
          </w:p>
        </w:tc>
        <w:tc>
          <w:tcPr>
            <w:tcW w:w="3396" w:type="dxa"/>
            <w:vAlign w:val="center"/>
          </w:tcPr>
          <w:p>
            <w:pPr>
              <w:widowControl/>
              <w:spacing w:line="300" w:lineRule="exact"/>
              <w:rPr>
                <w:rFonts w:hint="eastAsia" w:ascii="宋体" w:hAnsi="宋体"/>
                <w:b/>
                <w:bCs/>
                <w:color w:val="000000"/>
                <w:kern w:val="0"/>
                <w:szCs w:val="21"/>
              </w:rPr>
            </w:pPr>
            <w:r>
              <w:rPr>
                <w:rFonts w:hint="eastAsia" w:ascii="宋体" w:hAnsi="宋体"/>
                <w:color w:val="000000"/>
                <w:kern w:val="0"/>
                <w:szCs w:val="21"/>
              </w:rPr>
              <w:t>政策推介活动资料，抽查政策知晓率</w:t>
            </w:r>
          </w:p>
        </w:tc>
        <w:tc>
          <w:tcPr>
            <w:tcW w:w="838" w:type="dxa"/>
            <w:vAlign w:val="center"/>
          </w:tcPr>
          <w:p>
            <w:pPr>
              <w:widowControl/>
              <w:spacing w:line="300" w:lineRule="exact"/>
              <w:jc w:val="center"/>
              <w:rPr>
                <w:rFonts w:ascii="宋体" w:hAnsi="宋体"/>
                <w:color w:val="000000"/>
                <w:kern w:val="0"/>
                <w:szCs w:val="21"/>
              </w:rPr>
            </w:pPr>
          </w:p>
        </w:tc>
        <w:tc>
          <w:tcPr>
            <w:tcW w:w="898" w:type="dxa"/>
            <w:vAlign w:val="center"/>
          </w:tcPr>
          <w:p>
            <w:pPr>
              <w:widowControl/>
              <w:spacing w:line="300" w:lineRule="exact"/>
              <w:jc w:val="center"/>
              <w:rPr>
                <w:rFonts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711" w:hRule="atLeast"/>
          <w:jc w:val="center"/>
        </w:trPr>
        <w:tc>
          <w:tcPr>
            <w:tcW w:w="1163" w:type="dxa"/>
            <w:vMerge w:val="continue"/>
            <w:vAlign w:val="center"/>
          </w:tcPr>
          <w:p>
            <w:pPr>
              <w:widowControl/>
              <w:spacing w:line="300" w:lineRule="exact"/>
              <w:jc w:val="center"/>
              <w:rPr>
                <w:rFonts w:hint="eastAsia" w:ascii="宋体" w:hAnsi="宋体"/>
                <w:color w:val="000000"/>
                <w:kern w:val="0"/>
                <w:szCs w:val="21"/>
              </w:rPr>
            </w:pP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8、落实一次性创业补贴情况</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6</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达到符合条件人员90%以上得6分，每下降得5%扣1分。</w:t>
            </w:r>
          </w:p>
        </w:tc>
        <w:tc>
          <w:tcPr>
            <w:tcW w:w="3396"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提供本辖区内创业成功人员名单及申报一次性补贴人员名单。</w:t>
            </w:r>
          </w:p>
        </w:tc>
        <w:tc>
          <w:tcPr>
            <w:tcW w:w="838" w:type="dxa"/>
            <w:vAlign w:val="center"/>
          </w:tcPr>
          <w:p>
            <w:pPr>
              <w:widowControl/>
              <w:spacing w:line="300" w:lineRule="exact"/>
              <w:jc w:val="center"/>
              <w:rPr>
                <w:rFonts w:hint="eastAsia" w:ascii="宋体" w:hAnsi="宋体"/>
                <w:color w:val="000000"/>
                <w:kern w:val="0"/>
                <w:szCs w:val="21"/>
              </w:rPr>
            </w:pPr>
          </w:p>
        </w:tc>
        <w:tc>
          <w:tcPr>
            <w:tcW w:w="898" w:type="dxa"/>
            <w:vAlign w:val="center"/>
          </w:tcPr>
          <w:p>
            <w:pPr>
              <w:widowControl/>
              <w:spacing w:line="300" w:lineRule="exact"/>
              <w:jc w:val="center"/>
              <w:rPr>
                <w:rFonts w:hint="eastAsia"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823" w:hRule="atLeast"/>
          <w:jc w:val="center"/>
        </w:trPr>
        <w:tc>
          <w:tcPr>
            <w:tcW w:w="1163" w:type="dxa"/>
            <w:vMerge w:val="continue"/>
            <w:vAlign w:val="center"/>
          </w:tcPr>
          <w:p>
            <w:pPr>
              <w:widowControl/>
              <w:spacing w:line="300" w:lineRule="exact"/>
              <w:jc w:val="center"/>
              <w:rPr>
                <w:rFonts w:hint="eastAsia" w:ascii="宋体" w:hAnsi="宋体"/>
                <w:color w:val="000000"/>
                <w:kern w:val="0"/>
                <w:szCs w:val="21"/>
              </w:rPr>
            </w:pP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 xml:space="preserve">9、创业担保贷款贴息情况 </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6</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达到符合条件人员90%以上得6分，每下降得5%扣1分</w:t>
            </w:r>
          </w:p>
        </w:tc>
        <w:tc>
          <w:tcPr>
            <w:tcW w:w="3396"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提供符合条件借款申请人数量以及获得小额担保贷款的借款申请人数量的原始统计资料。</w:t>
            </w:r>
          </w:p>
        </w:tc>
        <w:tc>
          <w:tcPr>
            <w:tcW w:w="838" w:type="dxa"/>
            <w:vAlign w:val="center"/>
          </w:tcPr>
          <w:p>
            <w:pPr>
              <w:widowControl/>
              <w:spacing w:line="300" w:lineRule="exact"/>
              <w:jc w:val="center"/>
              <w:rPr>
                <w:rFonts w:hint="eastAsia" w:ascii="宋体" w:hAnsi="宋体"/>
                <w:color w:val="000000"/>
                <w:kern w:val="0"/>
                <w:szCs w:val="21"/>
              </w:rPr>
            </w:pPr>
          </w:p>
        </w:tc>
        <w:tc>
          <w:tcPr>
            <w:tcW w:w="898" w:type="dxa"/>
            <w:vAlign w:val="center"/>
          </w:tcPr>
          <w:p>
            <w:pPr>
              <w:widowControl/>
              <w:spacing w:line="300" w:lineRule="exact"/>
              <w:jc w:val="center"/>
              <w:rPr>
                <w:rFonts w:hint="eastAsia"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43" w:hRule="atLeast"/>
          <w:jc w:val="center"/>
        </w:trPr>
        <w:tc>
          <w:tcPr>
            <w:tcW w:w="1163" w:type="dxa"/>
            <w:vMerge w:val="restart"/>
            <w:tcBorders>
              <w:top w:val="single" w:color="auto" w:sz="4" w:space="0"/>
            </w:tcBorders>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创业服务</w:t>
            </w:r>
          </w:p>
          <w:p>
            <w:pPr>
              <w:widowControl/>
              <w:spacing w:line="300" w:lineRule="exact"/>
              <w:rPr>
                <w:rFonts w:hint="eastAsia" w:ascii="宋体" w:hAnsi="宋体"/>
                <w:color w:val="000000"/>
                <w:kern w:val="0"/>
                <w:szCs w:val="21"/>
              </w:rPr>
            </w:pPr>
            <w:r>
              <w:rPr>
                <w:rFonts w:hint="eastAsia" w:ascii="宋体" w:hAnsi="宋体"/>
                <w:color w:val="000000"/>
                <w:kern w:val="0"/>
                <w:szCs w:val="21"/>
              </w:rPr>
              <w:t>（15分）</w:t>
            </w:r>
          </w:p>
        </w:tc>
        <w:tc>
          <w:tcPr>
            <w:tcW w:w="2679" w:type="dxa"/>
            <w:tcBorders>
              <w:top w:val="single" w:color="auto" w:sz="4" w:space="0"/>
              <w:bottom w:val="single" w:color="auto" w:sz="4" w:space="0"/>
            </w:tcBorders>
            <w:vAlign w:val="center"/>
          </w:tcPr>
          <w:p>
            <w:pPr>
              <w:widowControl/>
              <w:spacing w:line="300" w:lineRule="exact"/>
              <w:rPr>
                <w:rFonts w:ascii="宋体" w:hAnsi="宋体"/>
                <w:color w:val="000000"/>
                <w:kern w:val="0"/>
                <w:szCs w:val="21"/>
              </w:rPr>
            </w:pPr>
            <w:r>
              <w:rPr>
                <w:rFonts w:hint="eastAsia" w:ascii="宋体" w:hAnsi="宋体"/>
                <w:color w:val="000000"/>
                <w:kern w:val="0"/>
                <w:szCs w:val="21"/>
              </w:rPr>
              <w:t>10、搭建创业公共服务平台</w:t>
            </w:r>
          </w:p>
        </w:tc>
        <w:tc>
          <w:tcPr>
            <w:tcW w:w="629" w:type="dxa"/>
            <w:tcBorders>
              <w:top w:val="single" w:color="auto" w:sz="4" w:space="0"/>
              <w:bottom w:val="single" w:color="auto" w:sz="4" w:space="0"/>
            </w:tcBorders>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tcBorders>
              <w:top w:val="single" w:color="auto" w:sz="4" w:space="0"/>
              <w:bottom w:val="single" w:color="auto" w:sz="4" w:space="0"/>
            </w:tcBorders>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专门建立村级公共服务平台得5 分，整合资源搭建平台得3分，不建不得分</w:t>
            </w:r>
          </w:p>
        </w:tc>
        <w:tc>
          <w:tcPr>
            <w:tcW w:w="3396" w:type="dxa"/>
            <w:tcBorders>
              <w:top w:val="single" w:color="auto" w:sz="4" w:space="0"/>
              <w:bottom w:val="single" w:color="auto" w:sz="4" w:space="0"/>
            </w:tcBorders>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实地查看服务平台和服务台帐</w:t>
            </w:r>
          </w:p>
        </w:tc>
        <w:tc>
          <w:tcPr>
            <w:tcW w:w="838" w:type="dxa"/>
            <w:tcBorders>
              <w:top w:val="single" w:color="auto" w:sz="4" w:space="0"/>
              <w:bottom w:val="single" w:color="auto" w:sz="4" w:space="0"/>
            </w:tcBorders>
            <w:vAlign w:val="center"/>
          </w:tcPr>
          <w:p>
            <w:pPr>
              <w:widowControl/>
              <w:spacing w:line="300" w:lineRule="exact"/>
              <w:jc w:val="center"/>
              <w:rPr>
                <w:rFonts w:hint="eastAsia" w:ascii="宋体" w:hAnsi="宋体"/>
                <w:color w:val="000000"/>
                <w:kern w:val="0"/>
                <w:szCs w:val="21"/>
              </w:rPr>
            </w:pPr>
          </w:p>
        </w:tc>
        <w:tc>
          <w:tcPr>
            <w:tcW w:w="898" w:type="dxa"/>
            <w:tcBorders>
              <w:top w:val="single" w:color="auto" w:sz="4" w:space="0"/>
              <w:bottom w:val="single" w:color="auto" w:sz="4" w:space="0"/>
            </w:tcBorders>
            <w:vAlign w:val="center"/>
          </w:tcPr>
          <w:p>
            <w:pPr>
              <w:widowControl/>
              <w:spacing w:line="300" w:lineRule="exact"/>
              <w:jc w:val="center"/>
              <w:rPr>
                <w:rFonts w:hint="eastAsia"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653" w:hRule="atLeast"/>
          <w:jc w:val="center"/>
        </w:trPr>
        <w:tc>
          <w:tcPr>
            <w:tcW w:w="1163" w:type="dxa"/>
            <w:vMerge w:val="continue"/>
            <w:vAlign w:val="center"/>
          </w:tcPr>
          <w:p>
            <w:pPr>
              <w:widowControl/>
              <w:spacing w:line="300" w:lineRule="exact"/>
              <w:jc w:val="center"/>
              <w:rPr>
                <w:rFonts w:hint="eastAsia" w:ascii="宋体" w:hAnsi="宋体"/>
                <w:color w:val="000000"/>
                <w:kern w:val="0"/>
                <w:szCs w:val="21"/>
              </w:rPr>
            </w:pPr>
          </w:p>
        </w:tc>
        <w:tc>
          <w:tcPr>
            <w:tcW w:w="2679" w:type="dxa"/>
            <w:tcBorders>
              <w:top w:val="single" w:color="auto" w:sz="4" w:space="0"/>
              <w:bottom w:val="single" w:color="auto" w:sz="4" w:space="0"/>
            </w:tcBorders>
            <w:vAlign w:val="center"/>
          </w:tcPr>
          <w:p>
            <w:pPr>
              <w:widowControl/>
              <w:spacing w:line="300" w:lineRule="exact"/>
              <w:rPr>
                <w:rFonts w:ascii="宋体" w:hAnsi="宋体"/>
                <w:color w:val="000000"/>
                <w:kern w:val="0"/>
                <w:szCs w:val="21"/>
              </w:rPr>
            </w:pPr>
            <w:r>
              <w:rPr>
                <w:rFonts w:hint="eastAsia" w:ascii="宋体" w:hAnsi="宋体"/>
                <w:color w:val="000000"/>
                <w:kern w:val="0"/>
                <w:szCs w:val="21"/>
              </w:rPr>
              <w:t>11、建立导师帮扶机制</w:t>
            </w:r>
          </w:p>
        </w:tc>
        <w:tc>
          <w:tcPr>
            <w:tcW w:w="629" w:type="dxa"/>
            <w:tcBorders>
              <w:top w:val="single" w:color="auto" w:sz="4" w:space="0"/>
              <w:bottom w:val="single" w:color="auto" w:sz="4" w:space="0"/>
            </w:tcBorders>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tcBorders>
              <w:top w:val="single" w:color="auto" w:sz="4" w:space="0"/>
              <w:bottom w:val="single" w:color="auto" w:sz="4" w:space="0"/>
            </w:tcBorders>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建立导师队伍得2分，每开展1次帮扶活动得1分，最高3分。</w:t>
            </w:r>
          </w:p>
        </w:tc>
        <w:tc>
          <w:tcPr>
            <w:tcW w:w="3396" w:type="dxa"/>
            <w:tcBorders>
              <w:top w:val="single" w:color="auto" w:sz="4" w:space="0"/>
              <w:bottom w:val="single" w:color="auto" w:sz="4" w:space="0"/>
            </w:tcBorders>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提供导师队伍人员名单和开展帮扶活动记录台帐</w:t>
            </w:r>
          </w:p>
        </w:tc>
        <w:tc>
          <w:tcPr>
            <w:tcW w:w="838" w:type="dxa"/>
            <w:tcBorders>
              <w:top w:val="single" w:color="auto" w:sz="4" w:space="0"/>
            </w:tcBorders>
            <w:vAlign w:val="center"/>
          </w:tcPr>
          <w:p>
            <w:pPr>
              <w:widowControl/>
              <w:spacing w:line="300" w:lineRule="exact"/>
              <w:jc w:val="center"/>
              <w:rPr>
                <w:rFonts w:hint="eastAsia" w:ascii="宋体" w:hAnsi="宋体"/>
                <w:color w:val="000000"/>
                <w:kern w:val="0"/>
                <w:szCs w:val="21"/>
              </w:rPr>
            </w:pPr>
          </w:p>
        </w:tc>
        <w:tc>
          <w:tcPr>
            <w:tcW w:w="898" w:type="dxa"/>
            <w:tcBorders>
              <w:top w:val="single" w:color="auto" w:sz="4" w:space="0"/>
            </w:tcBorders>
            <w:vAlign w:val="center"/>
          </w:tcPr>
          <w:p>
            <w:pPr>
              <w:widowControl/>
              <w:spacing w:line="300" w:lineRule="exact"/>
              <w:jc w:val="center"/>
              <w:rPr>
                <w:rFonts w:hint="eastAsia"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452" w:hRule="atLeast"/>
          <w:jc w:val="center"/>
        </w:trPr>
        <w:tc>
          <w:tcPr>
            <w:tcW w:w="1163" w:type="dxa"/>
            <w:vMerge w:val="continue"/>
            <w:vAlign w:val="center"/>
          </w:tcPr>
          <w:p>
            <w:pPr>
              <w:widowControl/>
              <w:spacing w:line="300" w:lineRule="exact"/>
              <w:jc w:val="center"/>
              <w:rPr>
                <w:rFonts w:hint="eastAsia" w:ascii="宋体" w:hAnsi="宋体"/>
                <w:color w:val="000000"/>
                <w:kern w:val="0"/>
                <w:szCs w:val="21"/>
              </w:rPr>
            </w:pPr>
          </w:p>
        </w:tc>
        <w:tc>
          <w:tcPr>
            <w:tcW w:w="2679" w:type="dxa"/>
            <w:tcBorders>
              <w:top w:val="single" w:color="auto" w:sz="4" w:space="0"/>
            </w:tcBorders>
            <w:vAlign w:val="center"/>
          </w:tcPr>
          <w:p>
            <w:pPr>
              <w:widowControl/>
              <w:spacing w:line="300" w:lineRule="exact"/>
              <w:rPr>
                <w:rFonts w:ascii="宋体" w:hAnsi="宋体"/>
                <w:color w:val="000000"/>
                <w:kern w:val="0"/>
                <w:szCs w:val="21"/>
              </w:rPr>
            </w:pPr>
            <w:r>
              <w:rPr>
                <w:rFonts w:hint="eastAsia" w:ascii="宋体" w:hAnsi="宋体"/>
                <w:color w:val="000000"/>
                <w:kern w:val="0"/>
                <w:szCs w:val="21"/>
              </w:rPr>
              <w:t>12、开展开业指导、政策咨询等公共服务情况</w:t>
            </w:r>
          </w:p>
        </w:tc>
        <w:tc>
          <w:tcPr>
            <w:tcW w:w="629" w:type="dxa"/>
            <w:tcBorders>
              <w:top w:val="single" w:color="auto" w:sz="4" w:space="0"/>
            </w:tcBorders>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tcBorders>
              <w:top w:val="single" w:color="auto" w:sz="4" w:space="0"/>
            </w:tcBorders>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开展活动3次以上得5 分，2次得3分，1次得1分，不开展不得分</w:t>
            </w:r>
          </w:p>
        </w:tc>
        <w:tc>
          <w:tcPr>
            <w:tcW w:w="3396" w:type="dxa"/>
            <w:tcBorders>
              <w:top w:val="single" w:color="auto" w:sz="4" w:space="0"/>
            </w:tcBorders>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提供开展各项公共报务活动的台帐资料</w:t>
            </w:r>
          </w:p>
        </w:tc>
        <w:tc>
          <w:tcPr>
            <w:tcW w:w="838" w:type="dxa"/>
            <w:vAlign w:val="center"/>
          </w:tcPr>
          <w:p>
            <w:pPr>
              <w:widowControl/>
              <w:spacing w:line="300" w:lineRule="exact"/>
              <w:jc w:val="center"/>
              <w:rPr>
                <w:rFonts w:hint="eastAsia" w:ascii="宋体" w:hAnsi="宋体"/>
                <w:color w:val="000000"/>
                <w:kern w:val="0"/>
                <w:szCs w:val="21"/>
              </w:rPr>
            </w:pPr>
          </w:p>
        </w:tc>
        <w:tc>
          <w:tcPr>
            <w:tcW w:w="898" w:type="dxa"/>
            <w:vAlign w:val="center"/>
          </w:tcPr>
          <w:p>
            <w:pPr>
              <w:widowControl/>
              <w:spacing w:line="300" w:lineRule="exact"/>
              <w:jc w:val="center"/>
              <w:rPr>
                <w:rFonts w:hint="eastAsia"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452" w:hRule="atLeast"/>
          <w:jc w:val="center"/>
        </w:trPr>
        <w:tc>
          <w:tcPr>
            <w:tcW w:w="1163" w:type="dxa"/>
            <w:vMerge w:val="restart"/>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宣传工作</w:t>
            </w:r>
          </w:p>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（10分）</w:t>
            </w: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13、开展创业政策宣传和创业典型宣传</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利用各种形式宣传活动2次及上活动得5分，一次得3分，不开展不得分</w:t>
            </w:r>
          </w:p>
        </w:tc>
        <w:tc>
          <w:tcPr>
            <w:tcW w:w="3396"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提供活动开展情况资料</w:t>
            </w:r>
          </w:p>
        </w:tc>
        <w:tc>
          <w:tcPr>
            <w:tcW w:w="838" w:type="dxa"/>
            <w:vAlign w:val="center"/>
          </w:tcPr>
          <w:p>
            <w:pPr>
              <w:widowControl/>
              <w:spacing w:line="300" w:lineRule="exact"/>
              <w:jc w:val="center"/>
              <w:rPr>
                <w:rFonts w:hint="eastAsia" w:ascii="宋体" w:hAnsi="宋体"/>
                <w:color w:val="000000"/>
                <w:kern w:val="0"/>
                <w:szCs w:val="21"/>
              </w:rPr>
            </w:pPr>
          </w:p>
        </w:tc>
        <w:tc>
          <w:tcPr>
            <w:tcW w:w="898" w:type="dxa"/>
            <w:vAlign w:val="center"/>
          </w:tcPr>
          <w:p>
            <w:pPr>
              <w:widowControl/>
              <w:spacing w:line="300" w:lineRule="exact"/>
              <w:jc w:val="center"/>
              <w:rPr>
                <w:rFonts w:hint="eastAsia"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452" w:hRule="atLeast"/>
          <w:jc w:val="center"/>
        </w:trPr>
        <w:tc>
          <w:tcPr>
            <w:tcW w:w="1163" w:type="dxa"/>
            <w:vMerge w:val="continue"/>
            <w:vAlign w:val="center"/>
          </w:tcPr>
          <w:p>
            <w:pPr>
              <w:widowControl/>
              <w:spacing w:line="300" w:lineRule="exact"/>
              <w:jc w:val="center"/>
              <w:rPr>
                <w:rFonts w:hint="eastAsia" w:ascii="宋体" w:hAnsi="宋体"/>
                <w:color w:val="000000"/>
                <w:kern w:val="0"/>
                <w:szCs w:val="21"/>
              </w:rPr>
            </w:pP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14、总结提炼建设工作经验，积极报送信息宣传稿</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总结1条以上经验、报送1条以上信息得5分，只完成其中一项得3分，不总结不报送不得分</w:t>
            </w:r>
          </w:p>
        </w:tc>
        <w:tc>
          <w:tcPr>
            <w:tcW w:w="3396"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提供信息经验文章，查看报送记录</w:t>
            </w:r>
          </w:p>
        </w:tc>
        <w:tc>
          <w:tcPr>
            <w:tcW w:w="838" w:type="dxa"/>
            <w:vAlign w:val="center"/>
          </w:tcPr>
          <w:p>
            <w:pPr>
              <w:widowControl/>
              <w:spacing w:line="300" w:lineRule="exact"/>
              <w:jc w:val="center"/>
              <w:rPr>
                <w:rFonts w:ascii="宋体" w:hAnsi="宋体"/>
                <w:color w:val="000000"/>
                <w:kern w:val="0"/>
                <w:szCs w:val="21"/>
              </w:rPr>
            </w:pPr>
          </w:p>
        </w:tc>
        <w:tc>
          <w:tcPr>
            <w:tcW w:w="898" w:type="dxa"/>
            <w:vAlign w:val="center"/>
          </w:tcPr>
          <w:p>
            <w:pPr>
              <w:widowControl/>
              <w:spacing w:line="300" w:lineRule="exact"/>
              <w:jc w:val="center"/>
              <w:rPr>
                <w:rFonts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644" w:hRule="atLeast"/>
          <w:jc w:val="center"/>
        </w:trPr>
        <w:tc>
          <w:tcPr>
            <w:tcW w:w="1163" w:type="dxa"/>
            <w:vMerge w:val="restart"/>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任务指标 （20分）</w:t>
            </w: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15、创业参与率</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vAlign w:val="center"/>
          </w:tcPr>
          <w:p>
            <w:pPr>
              <w:widowControl/>
              <w:spacing w:line="300" w:lineRule="exact"/>
              <w:rPr>
                <w:rFonts w:ascii="宋体" w:hAnsi="宋体"/>
                <w:color w:val="000000"/>
                <w:kern w:val="0"/>
                <w:szCs w:val="21"/>
              </w:rPr>
            </w:pPr>
            <w:r>
              <w:rPr>
                <w:rFonts w:hint="eastAsia" w:ascii="宋体" w:hAnsi="宋体"/>
                <w:color w:val="000000"/>
                <w:kern w:val="0"/>
                <w:szCs w:val="21"/>
              </w:rPr>
              <w:t>创业参与率达到10%及以上得5分；10%—9%得3分，9%以下不得分。</w:t>
            </w:r>
          </w:p>
        </w:tc>
        <w:tc>
          <w:tcPr>
            <w:tcW w:w="3396" w:type="dxa"/>
            <w:vAlign w:val="center"/>
          </w:tcPr>
          <w:p>
            <w:pPr>
              <w:widowControl/>
              <w:spacing w:line="300" w:lineRule="exact"/>
              <w:rPr>
                <w:rFonts w:ascii="宋体" w:hAnsi="宋体"/>
                <w:color w:val="000000"/>
                <w:kern w:val="0"/>
                <w:szCs w:val="21"/>
              </w:rPr>
            </w:pPr>
            <w:r>
              <w:rPr>
                <w:rFonts w:hint="eastAsia" w:ascii="宋体" w:hAnsi="宋体"/>
                <w:color w:val="000000"/>
                <w:kern w:val="0"/>
                <w:szCs w:val="21"/>
              </w:rPr>
              <w:t>提供辖区内劳动年龄段人员数据及参与创业人员名单。</w:t>
            </w:r>
          </w:p>
        </w:tc>
        <w:tc>
          <w:tcPr>
            <w:tcW w:w="838" w:type="dxa"/>
            <w:vAlign w:val="center"/>
          </w:tcPr>
          <w:p>
            <w:pPr>
              <w:widowControl/>
              <w:spacing w:line="300" w:lineRule="exact"/>
              <w:jc w:val="center"/>
              <w:rPr>
                <w:rFonts w:ascii="宋体" w:hAnsi="宋体"/>
                <w:color w:val="000000"/>
                <w:kern w:val="0"/>
                <w:szCs w:val="21"/>
              </w:rPr>
            </w:pPr>
          </w:p>
        </w:tc>
        <w:tc>
          <w:tcPr>
            <w:tcW w:w="898" w:type="dxa"/>
            <w:vAlign w:val="center"/>
          </w:tcPr>
          <w:p>
            <w:pPr>
              <w:widowControl/>
              <w:spacing w:line="300" w:lineRule="exact"/>
              <w:jc w:val="center"/>
              <w:rPr>
                <w:rFonts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713" w:hRule="atLeast"/>
          <w:jc w:val="center"/>
        </w:trPr>
        <w:tc>
          <w:tcPr>
            <w:tcW w:w="1163" w:type="dxa"/>
            <w:vMerge w:val="continue"/>
            <w:vAlign w:val="center"/>
          </w:tcPr>
          <w:p>
            <w:pPr>
              <w:widowControl/>
              <w:spacing w:line="300" w:lineRule="exact"/>
              <w:rPr>
                <w:rFonts w:hint="eastAsia" w:ascii="宋体" w:hAnsi="宋体"/>
                <w:color w:val="000000"/>
                <w:kern w:val="0"/>
                <w:szCs w:val="21"/>
              </w:rPr>
            </w:pP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16、创业成功率</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创业成功率达到25%及以上得5分，25%—15%得2分，15%以下不得分。</w:t>
            </w:r>
          </w:p>
        </w:tc>
        <w:tc>
          <w:tcPr>
            <w:tcW w:w="3396"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提供辖区内参与创业人员名单和创业成功人员名单。</w:t>
            </w:r>
          </w:p>
        </w:tc>
        <w:tc>
          <w:tcPr>
            <w:tcW w:w="838" w:type="dxa"/>
            <w:vAlign w:val="center"/>
          </w:tcPr>
          <w:p>
            <w:pPr>
              <w:widowControl/>
              <w:spacing w:line="300" w:lineRule="exact"/>
              <w:jc w:val="center"/>
              <w:rPr>
                <w:rFonts w:ascii="宋体" w:hAnsi="宋体"/>
                <w:color w:val="000000"/>
                <w:kern w:val="0"/>
                <w:szCs w:val="21"/>
              </w:rPr>
            </w:pPr>
          </w:p>
        </w:tc>
        <w:tc>
          <w:tcPr>
            <w:tcW w:w="898" w:type="dxa"/>
            <w:vAlign w:val="center"/>
          </w:tcPr>
          <w:p>
            <w:pPr>
              <w:widowControl/>
              <w:spacing w:line="300" w:lineRule="exact"/>
              <w:jc w:val="center"/>
              <w:rPr>
                <w:rFonts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663" w:hRule="atLeast"/>
          <w:jc w:val="center"/>
        </w:trPr>
        <w:tc>
          <w:tcPr>
            <w:tcW w:w="1163" w:type="dxa"/>
            <w:vMerge w:val="continue"/>
            <w:vAlign w:val="center"/>
          </w:tcPr>
          <w:p>
            <w:pPr>
              <w:widowControl/>
              <w:spacing w:line="300" w:lineRule="exact"/>
              <w:rPr>
                <w:rFonts w:hint="eastAsia" w:ascii="宋体" w:hAnsi="宋体"/>
                <w:color w:val="000000"/>
                <w:kern w:val="0"/>
                <w:szCs w:val="21"/>
              </w:rPr>
            </w:pP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17、创业带动就业率</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vAlign w:val="center"/>
          </w:tcPr>
          <w:p>
            <w:pPr>
              <w:widowControl/>
              <w:spacing w:line="300" w:lineRule="exact"/>
              <w:rPr>
                <w:rFonts w:ascii="宋体" w:hAnsi="宋体"/>
                <w:color w:val="000000"/>
                <w:kern w:val="0"/>
                <w:szCs w:val="21"/>
              </w:rPr>
            </w:pPr>
            <w:r>
              <w:rPr>
                <w:rFonts w:hint="eastAsia" w:ascii="宋体" w:hAnsi="宋体"/>
                <w:color w:val="000000"/>
                <w:kern w:val="0"/>
                <w:szCs w:val="21"/>
              </w:rPr>
              <w:t>创业带动就业达到30%及以上得5分，30%—20%得3分；20%以下不得分。</w:t>
            </w:r>
          </w:p>
        </w:tc>
        <w:tc>
          <w:tcPr>
            <w:tcW w:w="3396" w:type="dxa"/>
            <w:vAlign w:val="center"/>
          </w:tcPr>
          <w:p>
            <w:pPr>
              <w:widowControl/>
              <w:spacing w:line="300" w:lineRule="exact"/>
              <w:rPr>
                <w:rFonts w:ascii="宋体" w:hAnsi="宋体"/>
                <w:color w:val="000000"/>
                <w:kern w:val="0"/>
                <w:szCs w:val="21"/>
              </w:rPr>
            </w:pPr>
            <w:r>
              <w:rPr>
                <w:rFonts w:hint="eastAsia" w:ascii="宋体" w:hAnsi="宋体"/>
                <w:color w:val="000000"/>
                <w:kern w:val="0"/>
                <w:szCs w:val="21"/>
              </w:rPr>
              <w:t>提供创业人员名单和带动就业人员名单。</w:t>
            </w:r>
          </w:p>
        </w:tc>
        <w:tc>
          <w:tcPr>
            <w:tcW w:w="838" w:type="dxa"/>
            <w:vAlign w:val="center"/>
          </w:tcPr>
          <w:p>
            <w:pPr>
              <w:widowControl/>
              <w:spacing w:line="300" w:lineRule="exact"/>
              <w:jc w:val="center"/>
              <w:rPr>
                <w:rFonts w:ascii="宋体" w:hAnsi="宋体"/>
                <w:color w:val="000000"/>
                <w:kern w:val="0"/>
                <w:szCs w:val="21"/>
              </w:rPr>
            </w:pPr>
          </w:p>
        </w:tc>
        <w:tc>
          <w:tcPr>
            <w:tcW w:w="898" w:type="dxa"/>
            <w:vAlign w:val="center"/>
          </w:tcPr>
          <w:p>
            <w:pPr>
              <w:widowControl/>
              <w:spacing w:line="300" w:lineRule="exact"/>
              <w:jc w:val="center"/>
              <w:rPr>
                <w:rFonts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624" w:hRule="atLeast"/>
          <w:jc w:val="center"/>
        </w:trPr>
        <w:tc>
          <w:tcPr>
            <w:tcW w:w="1163" w:type="dxa"/>
            <w:vMerge w:val="continue"/>
            <w:vAlign w:val="center"/>
          </w:tcPr>
          <w:p>
            <w:pPr>
              <w:widowControl/>
              <w:spacing w:line="300" w:lineRule="exact"/>
              <w:rPr>
                <w:rFonts w:hint="eastAsia" w:ascii="宋体" w:hAnsi="宋体"/>
                <w:color w:val="000000"/>
                <w:kern w:val="0"/>
                <w:szCs w:val="21"/>
              </w:rPr>
            </w:pP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18、创业环境满意度</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5</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满意度达到95%以上得分；95%—90%得3分；90%以下不得分。</w:t>
            </w:r>
          </w:p>
        </w:tc>
        <w:tc>
          <w:tcPr>
            <w:tcW w:w="3396"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随机抽查5—10名对象，统计满意度。</w:t>
            </w:r>
          </w:p>
        </w:tc>
        <w:tc>
          <w:tcPr>
            <w:tcW w:w="838" w:type="dxa"/>
            <w:vAlign w:val="center"/>
          </w:tcPr>
          <w:p>
            <w:pPr>
              <w:widowControl/>
              <w:spacing w:line="300" w:lineRule="exact"/>
              <w:jc w:val="center"/>
              <w:rPr>
                <w:rFonts w:hint="eastAsia" w:ascii="宋体" w:hAnsi="宋体"/>
                <w:color w:val="000000"/>
                <w:kern w:val="0"/>
                <w:szCs w:val="21"/>
              </w:rPr>
            </w:pPr>
          </w:p>
        </w:tc>
        <w:tc>
          <w:tcPr>
            <w:tcW w:w="898" w:type="dxa"/>
            <w:vAlign w:val="center"/>
          </w:tcPr>
          <w:p>
            <w:pPr>
              <w:widowControl/>
              <w:spacing w:line="300" w:lineRule="exact"/>
              <w:jc w:val="center"/>
              <w:rPr>
                <w:rFonts w:hint="eastAsia"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624" w:hRule="atLeast"/>
          <w:jc w:val="center"/>
        </w:trPr>
        <w:tc>
          <w:tcPr>
            <w:tcW w:w="1163"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创新工作（10分）</w:t>
            </w:r>
          </w:p>
        </w:tc>
        <w:tc>
          <w:tcPr>
            <w:tcW w:w="267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19、建设工作中的创新做法</w:t>
            </w:r>
          </w:p>
        </w:tc>
        <w:tc>
          <w:tcPr>
            <w:tcW w:w="629" w:type="dxa"/>
            <w:vAlign w:val="center"/>
          </w:tcPr>
          <w:p>
            <w:pPr>
              <w:widowControl/>
              <w:spacing w:line="300" w:lineRule="exact"/>
              <w:jc w:val="center"/>
              <w:rPr>
                <w:rFonts w:hint="eastAsia" w:ascii="宋体" w:hAnsi="宋体"/>
                <w:color w:val="000000"/>
                <w:kern w:val="0"/>
                <w:szCs w:val="21"/>
              </w:rPr>
            </w:pPr>
            <w:r>
              <w:rPr>
                <w:rFonts w:hint="eastAsia" w:ascii="宋体" w:hAnsi="宋体"/>
                <w:color w:val="000000"/>
                <w:kern w:val="0"/>
                <w:szCs w:val="21"/>
              </w:rPr>
              <w:t>10</w:t>
            </w:r>
          </w:p>
        </w:tc>
        <w:tc>
          <w:tcPr>
            <w:tcW w:w="4119"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提炼工作创新方法，得到领导批示或被人力社保局认定的创新工作每得一条得3分，最高不超过10分</w:t>
            </w:r>
          </w:p>
        </w:tc>
        <w:tc>
          <w:tcPr>
            <w:tcW w:w="3396" w:type="dxa"/>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创新做法材料介绍和相关证明材料</w:t>
            </w:r>
          </w:p>
        </w:tc>
        <w:tc>
          <w:tcPr>
            <w:tcW w:w="838" w:type="dxa"/>
            <w:vAlign w:val="center"/>
          </w:tcPr>
          <w:p>
            <w:pPr>
              <w:widowControl/>
              <w:spacing w:line="300" w:lineRule="exact"/>
              <w:jc w:val="center"/>
              <w:rPr>
                <w:rFonts w:hint="eastAsia" w:ascii="宋体" w:hAnsi="宋体"/>
                <w:color w:val="000000"/>
                <w:kern w:val="0"/>
                <w:szCs w:val="21"/>
              </w:rPr>
            </w:pPr>
          </w:p>
        </w:tc>
        <w:tc>
          <w:tcPr>
            <w:tcW w:w="898" w:type="dxa"/>
            <w:vAlign w:val="center"/>
          </w:tcPr>
          <w:p>
            <w:pPr>
              <w:widowControl/>
              <w:spacing w:line="300" w:lineRule="exact"/>
              <w:jc w:val="center"/>
              <w:rPr>
                <w:rFonts w:hint="eastAsia" w:ascii="宋体" w:hAnsi="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498" w:hRule="atLeast"/>
          <w:jc w:val="center"/>
        </w:trPr>
        <w:tc>
          <w:tcPr>
            <w:tcW w:w="11986" w:type="dxa"/>
            <w:gridSpan w:val="5"/>
            <w:vAlign w:val="center"/>
          </w:tcPr>
          <w:p>
            <w:pPr>
              <w:widowControl/>
              <w:spacing w:line="300" w:lineRule="exact"/>
              <w:rPr>
                <w:rFonts w:hint="eastAsia" w:ascii="宋体" w:hAnsi="宋体"/>
                <w:color w:val="000000"/>
                <w:kern w:val="0"/>
                <w:szCs w:val="21"/>
              </w:rPr>
            </w:pPr>
            <w:r>
              <w:rPr>
                <w:rFonts w:hint="eastAsia" w:ascii="宋体" w:hAnsi="宋体"/>
                <w:color w:val="000000"/>
                <w:kern w:val="0"/>
                <w:szCs w:val="21"/>
              </w:rPr>
              <w:t xml:space="preserve">                                             </w:t>
            </w:r>
            <w:r>
              <w:rPr>
                <w:rFonts w:hint="eastAsia" w:ascii="宋体" w:hAnsi="宋体"/>
                <w:b/>
                <w:bCs/>
                <w:color w:val="000000"/>
                <w:kern w:val="0"/>
                <w:szCs w:val="21"/>
              </w:rPr>
              <w:t xml:space="preserve"> 总      分</w:t>
            </w:r>
          </w:p>
        </w:tc>
        <w:tc>
          <w:tcPr>
            <w:tcW w:w="838" w:type="dxa"/>
            <w:vAlign w:val="center"/>
          </w:tcPr>
          <w:p>
            <w:pPr>
              <w:widowControl/>
              <w:spacing w:line="300" w:lineRule="exact"/>
              <w:jc w:val="center"/>
              <w:rPr>
                <w:rFonts w:hint="eastAsia" w:ascii="宋体" w:hAnsi="宋体"/>
                <w:color w:val="000000"/>
                <w:kern w:val="0"/>
                <w:szCs w:val="21"/>
              </w:rPr>
            </w:pPr>
          </w:p>
        </w:tc>
        <w:tc>
          <w:tcPr>
            <w:tcW w:w="898" w:type="dxa"/>
            <w:vAlign w:val="center"/>
          </w:tcPr>
          <w:p>
            <w:pPr>
              <w:widowControl/>
              <w:spacing w:line="300" w:lineRule="exact"/>
              <w:jc w:val="center"/>
              <w:rPr>
                <w:rFonts w:hint="eastAsia" w:ascii="宋体" w:hAnsi="宋体"/>
                <w:color w:val="000000"/>
                <w:kern w:val="0"/>
                <w:szCs w:val="21"/>
              </w:rPr>
            </w:pPr>
          </w:p>
        </w:tc>
      </w:tr>
    </w:tbl>
    <w:p>
      <w:pPr/>
    </w:p>
    <w:p>
      <w:pPr/>
    </w:p>
    <w:sectPr>
      <w:headerReference r:id="rId5" w:type="first"/>
      <w:footerReference r:id="rId8" w:type="first"/>
      <w:headerReference r:id="rId3" w:type="default"/>
      <w:footerReference r:id="rId6" w:type="default"/>
      <w:headerReference r:id="rId4" w:type="even"/>
      <w:footerReference r:id="rId7" w:type="even"/>
      <w:pgSz w:w="16838" w:h="11906" w:orient="landscape"/>
      <w:pgMar w:top="1644" w:right="2155" w:bottom="1474" w:left="1985" w:header="851" w:footer="1304" w:gutter="0"/>
      <w:cols w:space="720" w:num="1"/>
      <w:docGrid w:type="lines" w:linePitch="310" w:charSpace="-268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 w:name="黑体">
    <w:panose1 w:val="02010600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080E0000" w:usb2="00000000" w:usb3="00000000" w:csb0="00040001" w:csb1="00000000"/>
  </w:font>
  <w:font w:name="Courier New">
    <w:panose1 w:val="02070309020205020404"/>
    <w:charset w:val="00"/>
    <w:family w:val="modern"/>
    <w:pitch w:val="default"/>
    <w:sig w:usb0="00007A87" w:usb1="80000000" w:usb2="00000008" w:usb3="00000000" w:csb0="400001FF" w:csb1="FFFF0000"/>
  </w:font>
  <w:font w:name="文鼎大标宋简">
    <w:altName w:val="Arial Unicode MS"/>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6"/>
    <w:family w:val="modern"/>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separate"/>
    </w:r>
    <w:r>
      <w:rPr>
        <w:rStyle w:val="5"/>
      </w:rPr>
      <w:t>10</w:t>
    </w:r>
    <w:r>
      <w:rPr>
        <w:rStyle w:val="5"/>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190513"/>
    <w:rsid w:val="7E19051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2016-04-11T01:51:00Z</dcterms:created>
  <dc:creator>Administrator</dc:creator>
  <cp:lastModifiedBy>Administrator</cp:lastModifiedBy>
  <dcterms:modified xsi:type="dcterms:W3CDTF">2016-04-11T01:51:47Z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