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eastAsia="仿宋_GB2312"/>
          <w:sz w:val="32"/>
          <w:szCs w:val="32"/>
        </w:rPr>
      </w:pPr>
    </w:p>
    <w:p/>
    <w:p/>
    <w:p>
      <w:pPr>
        <w:rPr>
          <w:rFonts w:hint="eastAsia"/>
        </w:rPr>
      </w:pPr>
      <w:r>
        <w:pict>
          <v:shape id="_x0000_i1025" o:spt="136" type="#_x0000_t136" style="height:48.75pt;width:414.75pt;" fillcolor="#FF0000" filled="t" coordsize="21600,21600" adj="10800">
            <v:path/>
            <v:fill on="t" focussize="0,0"/>
            <v:stroke color="#FF0000"/>
            <v:imagedata o:title=""/>
            <o:lock v:ext="edit" grouping="f" rotation="f" text="f" aspectratio="f"/>
            <v:textpath on="t" fitshape="t" fitpath="t" trim="t" xscale="f" string="安吉县人力资源和社会保障局文件" style="font-family:宋体;font-size:36pt;font-weight:bold;v-text-align:center;"/>
            <w10:wrap type="none"/>
            <w10:anchorlock/>
          </v:shape>
        </w:pict>
      </w:r>
    </w:p>
    <w:p>
      <w:pPr>
        <w:rPr>
          <w:rFonts w:hint="eastAsia"/>
        </w:rPr>
      </w:pPr>
    </w:p>
    <w:p>
      <w:pPr>
        <w:rPr>
          <w:rFonts w:hint="eastAsia"/>
        </w:rPr>
      </w:pPr>
    </w:p>
    <w:p>
      <w:pPr>
        <w:jc w:val="center"/>
        <w:rPr>
          <w:rFonts w:hint="eastAsia" w:ascii="仿宋_GB2312" w:eastAsia="仿宋_GB2312"/>
          <w:sz w:val="32"/>
          <w:szCs w:val="32"/>
        </w:rPr>
      </w:pPr>
      <w:r>
        <w:rPr>
          <w:rFonts w:hint="eastAsia" w:ascii="仿宋_GB2312" w:eastAsia="仿宋_GB2312"/>
          <w:sz w:val="32"/>
          <w:szCs w:val="32"/>
        </w:rPr>
        <w:t>安人社职评〔201</w:t>
      </w:r>
      <w:r>
        <w:rPr>
          <w:rFonts w:hint="eastAsia" w:ascii="仿宋_GB2312" w:eastAsia="仿宋_GB2312"/>
          <w:sz w:val="32"/>
          <w:szCs w:val="32"/>
          <w:lang w:val="en-US" w:eastAsia="zh-CN"/>
        </w:rPr>
        <w:t>8</w:t>
      </w:r>
      <w:r>
        <w:rPr>
          <w:rFonts w:hint="eastAsia" w:ascii="仿宋_GB2312" w:eastAsia="仿宋_GB2312"/>
          <w:sz w:val="32"/>
          <w:szCs w:val="32"/>
        </w:rPr>
        <w:t>〕</w:t>
      </w:r>
      <w:r>
        <w:rPr>
          <w:rFonts w:hint="eastAsia" w:ascii="仿宋_GB2312" w:eastAsia="仿宋_GB2312"/>
          <w:sz w:val="32"/>
          <w:szCs w:val="32"/>
          <w:lang w:val="en-US" w:eastAsia="zh-CN"/>
        </w:rPr>
        <w:t>14</w:t>
      </w:r>
      <w:r>
        <w:rPr>
          <w:rFonts w:hint="eastAsia" w:ascii="仿宋_GB2312" w:eastAsia="仿宋_GB2312"/>
          <w:sz w:val="32"/>
          <w:szCs w:val="32"/>
        </w:rPr>
        <w:t>号</w:t>
      </w:r>
    </w:p>
    <w:p>
      <w:pPr>
        <w:spacing w:line="360" w:lineRule="auto"/>
        <w:jc w:val="both"/>
        <w:rPr>
          <w:rFonts w:hint="eastAsia" w:ascii="宋体" w:hAnsi="宋体"/>
          <w:b/>
          <w:bCs/>
          <w:sz w:val="44"/>
          <w:szCs w:val="44"/>
        </w:rPr>
      </w:pPr>
      <w:r>
        <w:rPr>
          <w:rFonts w:hint="eastAsia" w:ascii="仿宋_GB2312" w:hAnsi="仿宋_GB2312" w:eastAsia="仿宋_GB2312" w:cs="仿宋_GB2312"/>
          <w:sz w:val="28"/>
          <w:szCs w:val="28"/>
        </w:rPr>
        <mc:AlternateContent>
          <mc:Choice Requires="wps">
            <w:drawing>
              <wp:anchor distT="0" distB="0" distL="114300" distR="114300" simplePos="0" relativeHeight="253263872" behindDoc="0" locked="0" layoutInCell="1" allowOverlap="1">
                <wp:simplePos x="0" y="0"/>
                <wp:positionH relativeFrom="column">
                  <wp:posOffset>0</wp:posOffset>
                </wp:positionH>
                <wp:positionV relativeFrom="paragraph">
                  <wp:posOffset>0</wp:posOffset>
                </wp:positionV>
                <wp:extent cx="5372100" cy="0"/>
                <wp:effectExtent l="0" t="0" r="0" b="0"/>
                <wp:wrapNone/>
                <wp:docPr id="2" name="Line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23pt;z-index:253263872;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XBlxSdEAAAACAQAADwAAAAAAAAABACAAAAAiAAAAZHJzL2Rvd25yZXYueG1s&#10;UEsBAhQAFAAAAAgAh07iQBLDEGTGAQAAmgMAAA4AAAAAAAAAAQAgAAAAIAEAAGRycy9lMm9Eb2Mu&#10;eG1sUEsFBgAAAAAGAAYAWQEAAFgFAAAAAA==&#10;">
                <v:fill on="f" focussize="0,0"/>
                <v:stroke weight="1.75pt" color="#FF0000" joinstyle="round"/>
                <v:imagedata o:title=""/>
                <o:lock v:ext="edit" aspectratio="f"/>
              </v:line>
            </w:pict>
          </mc:Fallback>
        </mc:AlternateContent>
      </w:r>
      <w:bookmarkStart w:id="0" w:name="_GoBack"/>
      <w:bookmarkEnd w:id="0"/>
    </w:p>
    <w:p>
      <w:pPr>
        <w:spacing w:line="640" w:lineRule="exact"/>
        <w:jc w:val="center"/>
        <w:rPr>
          <w:rFonts w:hint="eastAsia" w:ascii="宋体" w:hAnsi="宋体"/>
          <w:b/>
          <w:bCs/>
          <w:sz w:val="36"/>
          <w:szCs w:val="36"/>
        </w:rPr>
      </w:pPr>
      <w:r>
        <w:rPr>
          <w:rFonts w:hint="eastAsia" w:ascii="宋体" w:hAnsi="宋体"/>
          <w:b/>
          <w:bCs/>
          <w:sz w:val="44"/>
          <w:szCs w:val="44"/>
        </w:rPr>
        <w:t xml:space="preserve"> </w:t>
      </w:r>
      <w:r>
        <w:rPr>
          <w:rFonts w:hint="eastAsia" w:ascii="宋体" w:hAnsi="宋体"/>
          <w:b/>
          <w:bCs/>
          <w:sz w:val="36"/>
          <w:szCs w:val="36"/>
        </w:rPr>
        <w:t>关于公布柴相峰同志具有</w:t>
      </w:r>
    </w:p>
    <w:p>
      <w:pPr>
        <w:spacing w:line="640" w:lineRule="exact"/>
        <w:jc w:val="center"/>
        <w:rPr>
          <w:rFonts w:hint="eastAsia" w:ascii="宋体" w:hAnsi="宋体"/>
          <w:b/>
          <w:bCs/>
          <w:sz w:val="36"/>
          <w:szCs w:val="36"/>
        </w:rPr>
      </w:pPr>
      <w:r>
        <w:rPr>
          <w:rFonts w:hint="eastAsia" w:ascii="宋体" w:hAnsi="宋体"/>
          <w:b/>
          <w:bCs/>
          <w:sz w:val="36"/>
          <w:szCs w:val="36"/>
        </w:rPr>
        <w:t>交通工程专业高级工程师</w:t>
      </w:r>
      <w:r>
        <w:rPr>
          <w:rFonts w:hint="eastAsia" w:ascii="宋体" w:hAnsi="宋体"/>
          <w:b/>
          <w:bCs/>
          <w:sz w:val="36"/>
          <w:szCs w:val="36"/>
          <w:lang w:eastAsia="zh-CN"/>
        </w:rPr>
        <w:t>职务</w:t>
      </w:r>
      <w:r>
        <w:rPr>
          <w:rFonts w:hint="eastAsia" w:ascii="宋体" w:hAnsi="宋体"/>
          <w:b/>
          <w:bCs/>
          <w:sz w:val="36"/>
          <w:szCs w:val="36"/>
        </w:rPr>
        <w:t>任职资格的通知</w:t>
      </w:r>
    </w:p>
    <w:p>
      <w:pPr>
        <w:ind w:firstLine="2182" w:firstLineChars="494"/>
        <w:rPr>
          <w:rFonts w:hint="eastAsia" w:ascii="宋体" w:hAnsi="宋体"/>
          <w:b/>
          <w:sz w:val="44"/>
          <w:szCs w:val="44"/>
        </w:rPr>
      </w:pPr>
    </w:p>
    <w:p>
      <w:pPr>
        <w:pStyle w:val="2"/>
        <w:keepNext w:val="0"/>
        <w:keepLines w:val="0"/>
        <w:pageBreakBefore w:val="0"/>
        <w:widowControl w:val="0"/>
        <w:kinsoku/>
        <w:wordWrap/>
        <w:overflowPunct/>
        <w:topLinePunct w:val="0"/>
        <w:bidi w:val="0"/>
        <w:snapToGrid/>
        <w:spacing w:before="0" w:beforeLines="0" w:after="0" w:afterLines="0" w:line="560" w:lineRule="exact"/>
        <w:ind w:left="0" w:leftChars="0" w:right="0" w:rightChars="0"/>
        <w:jc w:val="both"/>
        <w:textAlignment w:val="auto"/>
        <w:outlineLvl w:val="9"/>
        <w:rPr>
          <w:rFonts w:hint="eastAsia"/>
          <w:sz w:val="30"/>
          <w:szCs w:val="30"/>
        </w:rPr>
      </w:pPr>
      <w:r>
        <w:rPr>
          <w:rFonts w:hint="eastAsia"/>
          <w:sz w:val="30"/>
          <w:szCs w:val="30"/>
        </w:rPr>
        <w:t>各有关主管部门、有关单位：</w:t>
      </w:r>
    </w:p>
    <w:p>
      <w:pPr>
        <w:keepNext w:val="0"/>
        <w:keepLines w:val="0"/>
        <w:pageBreakBefore w:val="0"/>
        <w:widowControl w:val="0"/>
        <w:tabs>
          <w:tab w:val="left" w:pos="4140"/>
        </w:tabs>
        <w:kinsoku/>
        <w:wordWrap/>
        <w:overflowPunct/>
        <w:topLinePunct w:val="0"/>
        <w:autoSpaceDE w:val="0"/>
        <w:autoSpaceDN w:val="0"/>
        <w:bidi w:val="0"/>
        <w:adjustRightInd w:val="0"/>
        <w:snapToGrid/>
        <w:spacing w:before="0" w:beforeLines="0" w:after="0" w:afterLines="0" w:line="560" w:lineRule="exact"/>
        <w:ind w:left="0" w:leftChars="0" w:right="0" w:rightChars="0" w:firstLine="600" w:firstLineChars="200"/>
        <w:jc w:val="both"/>
        <w:textAlignment w:val="auto"/>
        <w:outlineLvl w:val="9"/>
        <w:rPr>
          <w:rFonts w:hint="eastAsia" w:eastAsia="仿宋_GB2312"/>
          <w:kern w:val="0"/>
          <w:sz w:val="30"/>
          <w:szCs w:val="30"/>
        </w:rPr>
      </w:pPr>
      <w:r>
        <w:rPr>
          <w:rFonts w:hint="eastAsia" w:ascii="仿宋_GB2312" w:eastAsia="仿宋_GB2312"/>
          <w:sz w:val="30"/>
          <w:szCs w:val="30"/>
        </w:rPr>
        <w:t>根据湖州市人力资源和社会保障局湖人社</w:t>
      </w:r>
      <w:r>
        <w:rPr>
          <w:rFonts w:hint="eastAsia" w:ascii="仿宋_GB2312" w:eastAsia="仿宋_GB2312"/>
          <w:sz w:val="30"/>
          <w:szCs w:val="30"/>
          <w:lang w:eastAsia="zh-CN"/>
        </w:rPr>
        <w:t>函</w:t>
      </w:r>
      <w:r>
        <w:rPr>
          <w:rFonts w:hint="eastAsia" w:ascii="仿宋_GB2312" w:eastAsia="仿宋_GB2312"/>
          <w:sz w:val="30"/>
          <w:szCs w:val="30"/>
        </w:rPr>
        <w:t>〔</w:t>
      </w:r>
      <w:r>
        <w:rPr>
          <w:rFonts w:ascii="仿宋_GB2312" w:eastAsia="仿宋_GB2312"/>
          <w:sz w:val="30"/>
          <w:szCs w:val="30"/>
        </w:rPr>
        <w:t>201</w:t>
      </w:r>
      <w:r>
        <w:rPr>
          <w:rFonts w:hint="eastAsia" w:ascii="仿宋_GB2312" w:eastAsia="仿宋_GB2312"/>
          <w:sz w:val="30"/>
          <w:szCs w:val="30"/>
          <w:lang w:val="en-US" w:eastAsia="zh-CN"/>
        </w:rPr>
        <w:t>8</w:t>
      </w:r>
      <w:r>
        <w:rPr>
          <w:rFonts w:hint="eastAsia" w:ascii="仿宋_GB2312" w:eastAsia="仿宋_GB2312"/>
          <w:sz w:val="30"/>
          <w:szCs w:val="30"/>
        </w:rPr>
        <w:t>〕</w:t>
      </w:r>
      <w:r>
        <w:rPr>
          <w:rFonts w:hint="eastAsia" w:ascii="仿宋_GB2312" w:eastAsia="仿宋_GB2312"/>
          <w:sz w:val="30"/>
          <w:szCs w:val="30"/>
          <w:lang w:val="en-US" w:eastAsia="zh-CN"/>
        </w:rPr>
        <w:t>21</w:t>
      </w:r>
      <w:r>
        <w:rPr>
          <w:rFonts w:hint="eastAsia" w:eastAsia="仿宋_GB2312"/>
          <w:kern w:val="0"/>
          <w:sz w:val="30"/>
          <w:szCs w:val="30"/>
        </w:rPr>
        <w:t>号</w:t>
      </w:r>
      <w:r>
        <w:rPr>
          <w:rFonts w:hint="eastAsia" w:ascii="仿宋_GB2312" w:eastAsia="仿宋_GB2312"/>
          <w:sz w:val="30"/>
          <w:szCs w:val="30"/>
        </w:rPr>
        <w:t>文件通知，经浙江省交通工程技术人员高级工程师资格评审委员会评审通过，我县交通设计院有限公司柴相峰同志具有交通工程专业高级工程师职务任职资格</w:t>
      </w:r>
      <w:r>
        <w:rPr>
          <w:rFonts w:hint="eastAsia" w:ascii="仿宋_GB2312" w:eastAsia="仿宋_GB2312"/>
          <w:sz w:val="30"/>
          <w:szCs w:val="30"/>
          <w:lang w:eastAsia="zh-CN"/>
        </w:rPr>
        <w:t>。</w:t>
      </w:r>
      <w:r>
        <w:rPr>
          <w:rFonts w:hint="eastAsia" w:ascii="仿宋_GB2312" w:eastAsia="仿宋_GB2312"/>
          <w:sz w:val="30"/>
          <w:szCs w:val="30"/>
        </w:rPr>
        <w:t>资格取得时间为201</w:t>
      </w:r>
      <w:r>
        <w:rPr>
          <w:rFonts w:hint="eastAsia" w:ascii="仿宋_GB2312" w:eastAsia="仿宋_GB2312"/>
          <w:sz w:val="30"/>
          <w:szCs w:val="30"/>
          <w:lang w:val="en-US" w:eastAsia="zh-CN"/>
        </w:rPr>
        <w:t>7</w:t>
      </w:r>
      <w:r>
        <w:rPr>
          <w:rFonts w:hint="eastAsia" w:ascii="仿宋_GB2312" w:eastAsia="仿宋_GB2312"/>
          <w:sz w:val="30"/>
          <w:szCs w:val="30"/>
        </w:rPr>
        <w:t>年12月</w:t>
      </w:r>
      <w:r>
        <w:rPr>
          <w:rFonts w:hint="eastAsia" w:ascii="仿宋_GB2312" w:eastAsia="仿宋_GB2312"/>
          <w:sz w:val="30"/>
          <w:szCs w:val="30"/>
          <w:lang w:val="en-US" w:eastAsia="zh-CN"/>
        </w:rPr>
        <w:t>31</w:t>
      </w:r>
      <w:r>
        <w:rPr>
          <w:rFonts w:hint="eastAsia" w:ascii="仿宋_GB2312" w:eastAsia="仿宋_GB2312"/>
          <w:sz w:val="30"/>
          <w:szCs w:val="30"/>
        </w:rPr>
        <w:t>日</w:t>
      </w:r>
      <w:r>
        <w:rPr>
          <w:rFonts w:hint="eastAsia" w:ascii="仿宋_GB2312" w:eastAsia="仿宋_GB2312"/>
          <w:sz w:val="30"/>
          <w:szCs w:val="30"/>
          <w:lang w:eastAsia="zh-CN"/>
        </w:rPr>
        <w:t>，</w:t>
      </w:r>
      <w:r>
        <w:rPr>
          <w:rFonts w:hint="eastAsia" w:ascii="仿宋_GB2312" w:eastAsia="仿宋_GB2312"/>
          <w:sz w:val="30"/>
          <w:szCs w:val="30"/>
        </w:rPr>
        <w:t>现予公布。</w:t>
      </w:r>
    </w:p>
    <w:p>
      <w:pPr>
        <w:keepNext w:val="0"/>
        <w:keepLines w:val="0"/>
        <w:pageBreakBefore w:val="0"/>
        <w:widowControl w:val="0"/>
        <w:numPr>
          <w:ilvl w:val="0"/>
          <w:numId w:val="0"/>
        </w:numPr>
        <w:kinsoku/>
        <w:wordWrap/>
        <w:overflowPunct/>
        <w:topLinePunct w:val="0"/>
        <w:bidi w:val="0"/>
        <w:snapToGrid/>
        <w:spacing w:line="560" w:lineRule="exact"/>
        <w:ind w:right="0" w:rightChars="0" w:firstLine="602" w:firstLineChars="200"/>
        <w:jc w:val="both"/>
        <w:textAlignment w:val="auto"/>
        <w:outlineLvl w:val="9"/>
        <w:rPr>
          <w:rFonts w:hint="eastAsia" w:ascii="仿宋_GB2312" w:eastAsia="仿宋_GB2312"/>
          <w:sz w:val="30"/>
          <w:szCs w:val="30"/>
          <w:lang w:val="en-US" w:eastAsia="zh-CN"/>
        </w:rPr>
      </w:pPr>
      <w:r>
        <w:rPr>
          <w:rFonts w:hint="eastAsia" w:ascii="仿宋_GB2312" w:eastAsia="仿宋_GB2312"/>
          <w:b/>
          <w:sz w:val="30"/>
          <w:szCs w:val="30"/>
        </w:rPr>
        <w:t xml:space="preserve"> </w:t>
      </w:r>
      <w:r>
        <w:rPr>
          <w:rFonts w:hint="eastAsia" w:ascii="仿宋_GB2312" w:eastAsia="仿宋_GB2312"/>
          <w:b/>
          <w:sz w:val="30"/>
          <w:szCs w:val="30"/>
          <w:lang w:val="en-US" w:eastAsia="zh-CN"/>
        </w:rPr>
        <w:t xml:space="preserve"> </w:t>
      </w:r>
    </w:p>
    <w:p>
      <w:pPr>
        <w:keepNext w:val="0"/>
        <w:keepLines w:val="0"/>
        <w:pageBreakBefore w:val="0"/>
        <w:widowControl w:val="0"/>
        <w:kinsoku/>
        <w:wordWrap/>
        <w:overflowPunct/>
        <w:topLinePunct w:val="0"/>
        <w:bidi w:val="0"/>
        <w:snapToGrid/>
        <w:spacing w:line="560" w:lineRule="exact"/>
        <w:ind w:right="0" w:rightChars="0"/>
        <w:jc w:val="both"/>
        <w:textAlignment w:val="auto"/>
        <w:outlineLvl w:val="9"/>
        <w:rPr>
          <w:rFonts w:hint="eastAsia" w:ascii="仿宋_GB2312" w:eastAsia="仿宋_GB2312"/>
          <w:sz w:val="30"/>
          <w:szCs w:val="30"/>
          <w:lang w:val="en-US" w:eastAsia="zh-CN"/>
        </w:rPr>
      </w:pPr>
    </w:p>
    <w:p>
      <w:pPr>
        <w:keepNext w:val="0"/>
        <w:keepLines w:val="0"/>
        <w:pageBreakBefore w:val="0"/>
        <w:widowControl w:val="0"/>
        <w:kinsoku/>
        <w:wordWrap/>
        <w:overflowPunct/>
        <w:topLinePunct w:val="0"/>
        <w:bidi w:val="0"/>
        <w:snapToGrid/>
        <w:spacing w:line="560" w:lineRule="exact"/>
        <w:ind w:right="0" w:rightChars="0"/>
        <w:jc w:val="both"/>
        <w:textAlignment w:val="auto"/>
        <w:outlineLvl w:val="9"/>
        <w:rPr>
          <w:rFonts w:hint="eastAsia" w:ascii="仿宋_GB2312" w:eastAsia="仿宋_GB2312"/>
          <w:sz w:val="30"/>
          <w:szCs w:val="30"/>
        </w:rPr>
      </w:pPr>
      <w:r>
        <w:rPr>
          <w:rFonts w:hint="eastAsia" w:ascii="仿宋_GB2312" w:eastAsia="仿宋_GB2312"/>
          <w:sz w:val="30"/>
          <w:szCs w:val="30"/>
          <w:lang w:val="en-US" w:eastAsia="zh-CN"/>
        </w:rPr>
        <w:t xml:space="preserve">                      </w:t>
      </w:r>
      <w:r>
        <w:rPr>
          <w:rFonts w:hint="eastAsia" w:ascii="仿宋_GB2312" w:eastAsia="仿宋_GB2312"/>
          <w:sz w:val="30"/>
          <w:szCs w:val="30"/>
        </w:rPr>
        <w:t>安吉县人力资源和社会保障局</w:t>
      </w:r>
    </w:p>
    <w:p>
      <w:pPr>
        <w:keepNext w:val="0"/>
        <w:keepLines w:val="0"/>
        <w:pageBreakBefore w:val="0"/>
        <w:widowControl w:val="0"/>
        <w:kinsoku/>
        <w:wordWrap/>
        <w:overflowPunct/>
        <w:topLinePunct w:val="0"/>
        <w:bidi w:val="0"/>
        <w:snapToGrid/>
        <w:spacing w:line="560" w:lineRule="exact"/>
        <w:ind w:right="0" w:rightChars="0"/>
        <w:jc w:val="both"/>
        <w:textAlignment w:val="auto"/>
        <w:outlineLvl w:val="9"/>
        <w:rPr>
          <w:rFonts w:hint="eastAsia" w:ascii="仿宋_GB2312" w:eastAsia="仿宋_GB2312"/>
          <w:sz w:val="30"/>
          <w:szCs w:val="30"/>
        </w:rPr>
      </w:pPr>
      <w:r>
        <w:rPr>
          <w:rFonts w:hint="eastAsia" w:ascii="仿宋_GB2312" w:eastAsia="仿宋_GB2312"/>
          <w:sz w:val="30"/>
          <w:szCs w:val="30"/>
          <w:lang w:val="en-US" w:eastAsia="zh-CN"/>
        </w:rPr>
        <w:t xml:space="preserve">                            </w:t>
      </w:r>
      <w:r>
        <w:rPr>
          <w:rFonts w:hint="eastAsia" w:ascii="仿宋_GB2312" w:eastAsia="仿宋_GB2312"/>
          <w:sz w:val="30"/>
          <w:szCs w:val="30"/>
        </w:rPr>
        <w:t>201</w:t>
      </w:r>
      <w:r>
        <w:rPr>
          <w:rFonts w:hint="eastAsia" w:ascii="仿宋_GB2312" w:eastAsia="仿宋_GB2312"/>
          <w:sz w:val="30"/>
          <w:szCs w:val="30"/>
          <w:lang w:val="en-US" w:eastAsia="zh-CN"/>
        </w:rPr>
        <w:t>8</w:t>
      </w:r>
      <w:r>
        <w:rPr>
          <w:rFonts w:hint="eastAsia" w:ascii="仿宋_GB2312" w:eastAsia="仿宋_GB2312"/>
          <w:sz w:val="30"/>
          <w:szCs w:val="30"/>
        </w:rPr>
        <w:t>年</w:t>
      </w:r>
      <w:r>
        <w:rPr>
          <w:rFonts w:hint="eastAsia" w:ascii="仿宋_GB2312" w:eastAsia="仿宋_GB2312"/>
          <w:sz w:val="30"/>
          <w:szCs w:val="30"/>
          <w:lang w:val="en-US" w:eastAsia="zh-CN"/>
        </w:rPr>
        <w:t>4</w:t>
      </w:r>
      <w:r>
        <w:rPr>
          <w:rFonts w:hint="eastAsia" w:ascii="仿宋_GB2312" w:eastAsia="仿宋_GB2312"/>
          <w:sz w:val="30"/>
          <w:szCs w:val="30"/>
        </w:rPr>
        <w:t>月</w:t>
      </w:r>
      <w:r>
        <w:rPr>
          <w:rFonts w:hint="eastAsia" w:ascii="仿宋_GB2312" w:eastAsia="仿宋_GB2312"/>
          <w:sz w:val="30"/>
          <w:szCs w:val="30"/>
          <w:lang w:val="en-US" w:eastAsia="zh-CN"/>
        </w:rPr>
        <w:t>19</w:t>
      </w:r>
      <w:r>
        <w:rPr>
          <w:rFonts w:hint="eastAsia" w:ascii="仿宋_GB2312" w:eastAsia="仿宋_GB2312"/>
          <w:sz w:val="30"/>
          <w:szCs w:val="30"/>
        </w:rPr>
        <w:t>日</w:t>
      </w:r>
    </w:p>
    <w:p>
      <w:pPr>
        <w:spacing w:line="480" w:lineRule="exact"/>
        <w:rPr>
          <w:rFonts w:hint="eastAsia" w:ascii="仿宋_GB2312" w:eastAsia="仿宋_GB2312"/>
          <w:sz w:val="30"/>
          <w:szCs w:val="30"/>
        </w:rPr>
      </w:pPr>
    </w:p>
    <w:p>
      <w:pPr>
        <w:spacing w:line="480" w:lineRule="exact"/>
        <w:rPr>
          <w:rFonts w:hint="eastAsia" w:ascii="仿宋_GB2312" w:eastAsia="仿宋_GB2312"/>
          <w:sz w:val="30"/>
          <w:szCs w:val="30"/>
        </w:rPr>
      </w:pPr>
    </w:p>
    <w:p>
      <w:r>
        <w:rPr>
          <w:sz w:val="30"/>
          <w:szCs w:val="30"/>
        </w:rPr>
        <mc:AlternateContent>
          <mc:Choice Requires="wps">
            <w:drawing>
              <wp:anchor distT="0" distB="0" distL="114300" distR="114300" simplePos="0" relativeHeight="252118016" behindDoc="0" locked="0" layoutInCell="1" allowOverlap="1">
                <wp:simplePos x="0" y="0"/>
                <wp:positionH relativeFrom="column">
                  <wp:posOffset>-68580</wp:posOffset>
                </wp:positionH>
                <wp:positionV relativeFrom="paragraph">
                  <wp:posOffset>45720</wp:posOffset>
                </wp:positionV>
                <wp:extent cx="5600700" cy="0"/>
                <wp:effectExtent l="0" t="0" r="0" b="0"/>
                <wp:wrapNone/>
                <wp:docPr id="21" name="Line 2"/>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5.4pt;margin-top:3.6pt;height:0pt;width:441pt;z-index:252118016;mso-width-relative:page;mso-height-relative:page;" filled="f" stroked="t" coordsize="21600,21600" o:gfxdata="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nKyYV9UAAAAHAQAADwAAAAAAAAABACAAAAAiAAAAZHJzL2Rvd25yZXYueG1sUEsB&#10;AhQAFAAAAAgAh07iQAG5Ccy/AQAAjQMAAA4AAAAAAAAAAQAgAAAAJAEAAGRycy9lMm9Eb2MueG1s&#10;UEsFBgAAAAAGAAYAWQEAAFUFAAAAAA==&#10;">
                <v:fill on="f" focussize="0,0"/>
                <v:stroke weight="1pt" color="#000000" joinstyle="round"/>
                <v:imagedata o:title=""/>
                <o:lock v:ext="edit" aspectratio="f"/>
              </v:line>
            </w:pict>
          </mc:Fallback>
        </mc:AlternateContent>
      </w:r>
      <w:r>
        <w:rPr>
          <w:sz w:val="30"/>
          <w:szCs w:val="30"/>
        </w:rPr>
        <mc:AlternateContent>
          <mc:Choice Requires="wps">
            <w:drawing>
              <wp:anchor distT="0" distB="0" distL="114300" distR="114300" simplePos="0" relativeHeight="252119040" behindDoc="0" locked="0" layoutInCell="1" allowOverlap="1">
                <wp:simplePos x="0" y="0"/>
                <wp:positionH relativeFrom="column">
                  <wp:posOffset>-114300</wp:posOffset>
                </wp:positionH>
                <wp:positionV relativeFrom="paragraph">
                  <wp:posOffset>386080</wp:posOffset>
                </wp:positionV>
                <wp:extent cx="5600700" cy="0"/>
                <wp:effectExtent l="0" t="0" r="0" b="0"/>
                <wp:wrapNone/>
                <wp:docPr id="22" name="Line 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9pt;margin-top:30.4pt;height:0pt;width:441pt;z-index:252119040;mso-width-relative:page;mso-height-relative:page;" filled="f" stroked="t" coordsize="21600,21600" o:gfxdata="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XRJCtcAAAAJAQAADwAAAAAAAAABACAAAAAiAAAAZHJzL2Rvd25yZXYueG1s&#10;UEsBAhQAFAAAAAgAh07iQOa87hXAAQAAjQMAAA4AAAAAAAAAAQAgAAAAJgEAAGRycy9lMm9Eb2Mu&#10;eG1sUEsFBgAAAAAGAAYAWQEAAFgFAAAAAA==&#10;">
                <v:fill on="f" focussize="0,0"/>
                <v:stroke weight="1pt" color="#000000" joinstyle="round"/>
                <v:imagedata o:title=""/>
                <o:lock v:ext="edit" aspectratio="f"/>
              </v:line>
            </w:pict>
          </mc:Fallback>
        </mc:AlternateContent>
      </w:r>
      <w:r>
        <w:rPr>
          <w:rFonts w:hint="eastAsia" w:eastAsia="仿宋_GB2312"/>
          <w:sz w:val="30"/>
          <w:szCs w:val="30"/>
        </w:rPr>
        <w:t>安吉县人力资源和社会保障局办公室</w:t>
      </w:r>
      <w:r>
        <w:rPr>
          <w:rFonts w:hint="eastAsia" w:eastAsia="仿宋_GB2312"/>
          <w:sz w:val="30"/>
          <w:szCs w:val="30"/>
          <w:lang w:val="en-US" w:eastAsia="zh-CN"/>
        </w:rPr>
        <w:t xml:space="preserve">   </w:t>
      </w:r>
      <w:r>
        <w:rPr>
          <w:rFonts w:eastAsia="仿宋_GB2312"/>
          <w:sz w:val="30"/>
          <w:szCs w:val="30"/>
        </w:rPr>
        <w:t xml:space="preserve"> </w:t>
      </w:r>
      <w:r>
        <w:rPr>
          <w:rFonts w:hint="eastAsia" w:ascii="仿宋_GB2312" w:eastAsia="仿宋_GB2312"/>
          <w:sz w:val="30"/>
          <w:szCs w:val="30"/>
        </w:rPr>
        <w:t>201</w:t>
      </w:r>
      <w:r>
        <w:rPr>
          <w:rFonts w:hint="eastAsia" w:ascii="仿宋_GB2312" w:eastAsia="仿宋_GB2312"/>
          <w:sz w:val="30"/>
          <w:szCs w:val="30"/>
          <w:lang w:val="en-US" w:eastAsia="zh-CN"/>
        </w:rPr>
        <w:t>8</w:t>
      </w:r>
      <w:r>
        <w:rPr>
          <w:rFonts w:hint="eastAsia" w:ascii="仿宋_GB2312" w:eastAsia="仿宋_GB2312"/>
          <w:sz w:val="30"/>
          <w:szCs w:val="30"/>
        </w:rPr>
        <w:t>年</w:t>
      </w:r>
      <w:r>
        <w:rPr>
          <w:rFonts w:hint="eastAsia" w:ascii="仿宋_GB2312" w:eastAsia="仿宋_GB2312"/>
          <w:sz w:val="30"/>
          <w:szCs w:val="30"/>
          <w:lang w:val="en-US" w:eastAsia="zh-CN"/>
        </w:rPr>
        <w:t>4</w:t>
      </w:r>
      <w:r>
        <w:rPr>
          <w:rFonts w:hint="eastAsia" w:ascii="仿宋_GB2312" w:eastAsia="仿宋_GB2312"/>
          <w:sz w:val="30"/>
          <w:szCs w:val="30"/>
        </w:rPr>
        <w:t>月</w:t>
      </w:r>
      <w:r>
        <w:rPr>
          <w:rFonts w:hint="eastAsia" w:ascii="仿宋_GB2312" w:eastAsia="仿宋_GB2312"/>
          <w:sz w:val="30"/>
          <w:szCs w:val="30"/>
          <w:lang w:val="en-US" w:eastAsia="zh-CN"/>
        </w:rPr>
        <w:t>19</w:t>
      </w:r>
      <w:r>
        <w:rPr>
          <w:rFonts w:hint="eastAsia" w:ascii="仿宋_GB2312" w:eastAsia="仿宋_GB2312"/>
          <w:sz w:val="30"/>
          <w:szCs w:val="30"/>
        </w:rPr>
        <w:t>日</w:t>
      </w:r>
      <w:r>
        <w:rPr>
          <w:rFonts w:hint="eastAsia" w:eastAsia="仿宋_GB2312"/>
          <w:spacing w:val="-8"/>
          <w:sz w:val="30"/>
          <w:szCs w:val="30"/>
        </w:rPr>
        <w:t>印发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F63D62"/>
    <w:rsid w:val="1B8367C5"/>
    <w:rsid w:val="1C2F1425"/>
    <w:rsid w:val="254406DC"/>
    <w:rsid w:val="51326141"/>
    <w:rsid w:val="6052694A"/>
    <w:rsid w:val="632E5658"/>
    <w:rsid w:val="6A2B4CD4"/>
    <w:rsid w:val="73784B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line="560" w:lineRule="exact"/>
    </w:pPr>
    <w:rPr>
      <w:rFonts w:ascii="仿宋_GB2312" w:eastAsia="仿宋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2018-06-28T01:54:40Z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